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52C17" w:rsidRDefault="00A032DB">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ED7C20" w:rsidP="00A032DB">
            <w:pPr>
              <w:rPr>
                <w:rFonts w:ascii="Arial (W1)" w:hAnsi="Arial (W1)"/>
                <w:b/>
                <w:bCs/>
                <w:noProof w:val="0"/>
                <w:sz w:val="28"/>
                <w:szCs w:val="28"/>
              </w:rPr>
            </w:pPr>
            <w:r>
              <w:rPr>
                <w:rFonts w:hint="cs"/>
                <w:b/>
                <w:bCs/>
                <w:noProof w:val="0"/>
                <w:sz w:val="28"/>
                <w:rtl/>
              </w:rPr>
              <w:t>פלוני</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D5045" w:rsidP="00A032DB">
            <w:pPr>
              <w:rPr>
                <w:rFonts w:ascii="Arial (W1)" w:hAnsi="Arial (W1)"/>
                <w:b/>
                <w:bCs/>
                <w:noProof w:val="0"/>
                <w:sz w:val="28"/>
                <w:szCs w:val="28"/>
              </w:rPr>
            </w:pPr>
            <w:sdt>
              <w:sdtPr>
                <w:rPr>
                  <w:rFonts w:hint="cs"/>
                  <w:rtl/>
                </w:rPr>
                <w:alias w:val="1184"/>
                <w:tag w:val="1184"/>
                <w:id w:val="-910234160"/>
                <w:text w:multiLine="1"/>
              </w:sdtPr>
              <w:sdtEndPr/>
              <w:sdtContent>
                <w:r w:rsidR="00A032DB">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6816EC" w:rsidRDefault="00004237" w:rsidP="00A032DB">
            <w:pPr>
              <w:rPr>
                <w:rFonts w:ascii="Arial (W1)" w:hAnsi="Arial (W1)"/>
                <w:b/>
                <w:bCs/>
                <w:noProof w:val="0"/>
                <w:sz w:val="28"/>
                <w:szCs w:val="28"/>
              </w:rPr>
            </w:pPr>
            <w:r>
              <w:rPr>
                <w:rFonts w:hint="cs"/>
                <w:b/>
                <w:bCs/>
                <w:noProof w:val="0"/>
                <w:sz w:val="28"/>
                <w:rtl/>
              </w:rPr>
              <w:t>אלמונית</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bookmarkStart w:id="0" w:name="_GoBack"/>
            <w:bookmarkEnd w:id="0"/>
          </w:p>
        </w:tc>
      </w:tr>
      <w:tr w:rsidR="00D36A71" w:rsidTr="006816EC">
        <w:trPr>
          <w:jc w:val="center"/>
        </w:trPr>
        <w:tc>
          <w:tcPr>
            <w:tcW w:w="3249" w:type="dxa"/>
            <w:gridSpan w:val="2"/>
          </w:tcPr>
          <w:p w:rsidR="00F52C17" w:rsidRDefault="00F52C17">
            <w:pPr>
              <w:rPr>
                <w:rFonts w:ascii="David" w:eastAsia="David" w:hAnsi="David"/>
                <w:noProof w:val="0"/>
              </w:rPr>
            </w:pPr>
          </w:p>
        </w:tc>
        <w:tc>
          <w:tcPr>
            <w:tcW w:w="5571" w:type="dxa"/>
          </w:tcPr>
          <w:p w:rsidR="00F52C17" w:rsidRDefault="00F52C17">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032DB" w:rsidRDefault="00A032DB" w:rsidP="00A032DB">
      <w:pPr>
        <w:spacing w:line="360" w:lineRule="auto"/>
        <w:jc w:val="both"/>
        <w:rPr>
          <w:rFonts w:ascii="David" w:hAnsi="David"/>
          <w:b/>
          <w:bCs/>
          <w:i/>
          <w:iCs/>
          <w:noProof w:val="0"/>
        </w:rPr>
      </w:pPr>
      <w:r>
        <w:rPr>
          <w:rFonts w:ascii="David" w:hAnsi="David"/>
          <w:rtl/>
        </w:rPr>
        <w:t>הכרעה בהליך לביטול הסכם גירושין מתוקן שערכו הצדדים ואושר ע"י בית המשפט, מחמת היותו</w:t>
      </w:r>
      <w:r>
        <w:rPr>
          <w:rFonts w:ascii="David" w:hAnsi="David"/>
          <w:b/>
          <w:bCs/>
          <w:i/>
          <w:iCs/>
          <w:rtl/>
        </w:rPr>
        <w:t xml:space="preserve"> </w:t>
      </w:r>
      <w:r>
        <w:rPr>
          <w:rFonts w:ascii="David" w:hAnsi="David"/>
          <w:b/>
          <w:bCs/>
          <w:rtl/>
        </w:rPr>
        <w:t>הסכם "למראית עין</w:t>
      </w:r>
      <w:r>
        <w:rPr>
          <w:rFonts w:ascii="David" w:hAnsi="David"/>
          <w:b/>
          <w:bCs/>
          <w:i/>
          <w:iCs/>
          <w:rtl/>
        </w:rPr>
        <w:t>"</w:t>
      </w:r>
      <w:r>
        <w:rPr>
          <w:rFonts w:ascii="David" w:hAnsi="David"/>
          <w:i/>
          <w:iCs/>
          <w:rtl/>
        </w:rPr>
        <w:t>.</w:t>
      </w:r>
    </w:p>
    <w:p w:rsidR="00310FD7" w:rsidRPr="00310FD7" w:rsidRDefault="00310FD7" w:rsidP="00A032DB">
      <w:pPr>
        <w:spacing w:line="360" w:lineRule="auto"/>
        <w:jc w:val="both"/>
        <w:rPr>
          <w:rFonts w:ascii="David" w:hAnsi="David"/>
          <w:rtl/>
        </w:rPr>
      </w:pPr>
    </w:p>
    <w:p w:rsidR="00A032DB" w:rsidRDefault="00A032DB" w:rsidP="00A032DB">
      <w:pPr>
        <w:spacing w:line="360" w:lineRule="auto"/>
        <w:jc w:val="both"/>
        <w:rPr>
          <w:rFonts w:ascii="David" w:hAnsi="David"/>
          <w:rtl/>
        </w:rPr>
      </w:pPr>
      <w:r>
        <w:rPr>
          <w:rFonts w:ascii="David" w:hAnsi="David"/>
          <w:rtl/>
        </w:rPr>
        <w:t xml:space="preserve">עוד עותר התובע לביטול חלקי של הסכם הגירושין, הקודם להסכם המתוקן, שאף הוא נערך ע"י הצדדים ואושר ע"י בית המשפט; כל אלו לצד סעדים נוספים שרובם ככולם, נוגעים לרכיבי בעלות, שימוש וחלוקת תשלומי משכנתא, והכל בהתייחס לבית המגורים שבו התגוררו הצדדים עובר לגירושיהם (להלן: </w:t>
      </w:r>
      <w:r>
        <w:rPr>
          <w:rFonts w:ascii="David" w:hAnsi="David"/>
          <w:b/>
          <w:bCs/>
          <w:rtl/>
        </w:rPr>
        <w:t>"בית המגורים"</w:t>
      </w:r>
      <w:r>
        <w:rPr>
          <w:rFonts w:ascii="David" w:hAnsi="David"/>
          <w:rtl/>
        </w:rPr>
        <w:t>).</w:t>
      </w:r>
    </w:p>
    <w:p w:rsidR="00310FD7" w:rsidRDefault="00310FD7" w:rsidP="00A032DB">
      <w:pPr>
        <w:spacing w:line="360" w:lineRule="auto"/>
        <w:jc w:val="both"/>
        <w:rPr>
          <w:rFonts w:ascii="David" w:hAnsi="David"/>
          <w:rtl/>
        </w:rPr>
      </w:pPr>
    </w:p>
    <w:p w:rsidR="00A032DB" w:rsidRDefault="00A032DB" w:rsidP="0012681D">
      <w:pPr>
        <w:spacing w:line="360" w:lineRule="auto"/>
        <w:jc w:val="both"/>
        <w:rPr>
          <w:rFonts w:ascii="David" w:hAnsi="David"/>
          <w:b/>
          <w:bCs/>
          <w:u w:val="single"/>
          <w:rtl/>
        </w:rPr>
      </w:pPr>
      <w:r>
        <w:rPr>
          <w:rFonts w:ascii="David" w:hAnsi="David"/>
          <w:rtl/>
        </w:rPr>
        <w:t xml:space="preserve">להשלמת התמונה הדיונית יצוין, כי פסק-דין זה ניתן, לאחר שההליך דנא הוכרע על-ידי מותב קודם שדן בתיק </w:t>
      </w:r>
      <w:r w:rsidR="00124326">
        <w:rPr>
          <w:rFonts w:ascii="David" w:hAnsi="David" w:hint="cs"/>
          <w:rtl/>
        </w:rPr>
        <w:t xml:space="preserve">(כב' השופטת מ' קראוס) </w:t>
      </w:r>
      <w:r>
        <w:rPr>
          <w:rFonts w:ascii="David" w:hAnsi="David"/>
          <w:rtl/>
        </w:rPr>
        <w:t xml:space="preserve">ומחמת ערעור שהוגש על פסק-הדין </w:t>
      </w:r>
      <w:r w:rsidR="00C7602E">
        <w:rPr>
          <w:rFonts w:ascii="David" w:hAnsi="David" w:hint="cs"/>
          <w:rtl/>
        </w:rPr>
        <w:t xml:space="preserve">בעניין מס' הליכים שהתנהלו בין הצדדים, </w:t>
      </w:r>
      <w:r>
        <w:rPr>
          <w:rFonts w:ascii="David" w:hAnsi="David"/>
          <w:rtl/>
        </w:rPr>
        <w:t>בוטלו</w:t>
      </w:r>
      <w:r w:rsidR="0059781E">
        <w:rPr>
          <w:rFonts w:ascii="David" w:hAnsi="David" w:hint="cs"/>
          <w:rtl/>
        </w:rPr>
        <w:t>, בהסכמת הצדדים,</w:t>
      </w:r>
      <w:r>
        <w:rPr>
          <w:rFonts w:ascii="David" w:hAnsi="David"/>
          <w:rtl/>
        </w:rPr>
        <w:t xml:space="preserve"> הקביעות האמורות בו </w:t>
      </w:r>
      <w:r w:rsidR="00C7602E">
        <w:rPr>
          <w:rFonts w:ascii="David" w:hAnsi="David" w:hint="cs"/>
          <w:rtl/>
        </w:rPr>
        <w:t xml:space="preserve">בהתייחס להליך דנא, </w:t>
      </w:r>
      <w:r w:rsidR="0059781E">
        <w:rPr>
          <w:rFonts w:ascii="David" w:hAnsi="David"/>
          <w:rtl/>
        </w:rPr>
        <w:t>ו</w:t>
      </w:r>
      <w:r>
        <w:rPr>
          <w:rFonts w:ascii="David" w:hAnsi="David"/>
          <w:rtl/>
        </w:rPr>
        <w:t>תיק</w:t>
      </w:r>
      <w:r w:rsidR="0059781E">
        <w:rPr>
          <w:rFonts w:ascii="David" w:hAnsi="David" w:hint="cs"/>
          <w:rtl/>
        </w:rPr>
        <w:t xml:space="preserve"> זה</w:t>
      </w:r>
      <w:r>
        <w:rPr>
          <w:rFonts w:ascii="David" w:hAnsi="David"/>
          <w:rtl/>
        </w:rPr>
        <w:t xml:space="preserve"> הושב ל</w:t>
      </w:r>
      <w:r w:rsidR="0059781E">
        <w:rPr>
          <w:rFonts w:ascii="David" w:hAnsi="David" w:hint="cs"/>
          <w:rtl/>
        </w:rPr>
        <w:t xml:space="preserve">המשך דיון </w:t>
      </w:r>
      <w:r w:rsidR="0012681D">
        <w:rPr>
          <w:rFonts w:ascii="David" w:hAnsi="David" w:hint="cs"/>
          <w:rtl/>
        </w:rPr>
        <w:t>בערכאה דכאן</w:t>
      </w:r>
      <w:r>
        <w:rPr>
          <w:rFonts w:ascii="David" w:hAnsi="David"/>
          <w:rtl/>
        </w:rPr>
        <w:t xml:space="preserve"> (ר' פסק דין מיום 25.10.2017 בעמ"ש 35646-10-16). </w:t>
      </w:r>
    </w:p>
    <w:p w:rsidR="00310FD7" w:rsidRDefault="00310FD7" w:rsidP="00A032DB">
      <w:pPr>
        <w:rPr>
          <w:rFonts w:ascii="David" w:hAnsi="David"/>
          <w:b/>
          <w:bCs/>
          <w:u w:val="single"/>
          <w:rtl/>
        </w:rPr>
      </w:pPr>
    </w:p>
    <w:p w:rsidR="00A032DB" w:rsidRDefault="00A032DB" w:rsidP="00A032DB">
      <w:pPr>
        <w:rPr>
          <w:rFonts w:ascii="David" w:hAnsi="David"/>
          <w:b/>
          <w:bCs/>
          <w:u w:val="single"/>
          <w:rtl/>
        </w:rPr>
      </w:pPr>
      <w:r>
        <w:rPr>
          <w:rFonts w:ascii="David" w:hAnsi="David"/>
          <w:b/>
          <w:bCs/>
          <w:u w:val="single"/>
          <w:rtl/>
        </w:rPr>
        <w:t>רקע ועובדות שאינן במחלוקת</w:t>
      </w:r>
    </w:p>
    <w:p w:rsidR="00310FD7" w:rsidRDefault="00310FD7" w:rsidP="00A032DB">
      <w:pPr>
        <w:rPr>
          <w:rFonts w:ascii="David" w:hAnsi="David"/>
          <w:b/>
          <w:bCs/>
          <w:u w:val="single"/>
          <w:rtl/>
        </w:rPr>
      </w:pPr>
    </w:p>
    <w:p w:rsidR="00A032DB" w:rsidRPr="00004237" w:rsidRDefault="00A032DB" w:rsidP="00004237">
      <w:pPr>
        <w:pStyle w:val="ad"/>
        <w:numPr>
          <w:ilvl w:val="0"/>
          <w:numId w:val="1"/>
        </w:numPr>
        <w:spacing w:line="360" w:lineRule="auto"/>
        <w:jc w:val="both"/>
        <w:rPr>
          <w:rFonts w:ascii="David" w:hAnsi="David" w:cs="David"/>
          <w:sz w:val="24"/>
          <w:szCs w:val="24"/>
          <w:rtl/>
        </w:rPr>
      </w:pPr>
      <w:r w:rsidRPr="00004237">
        <w:rPr>
          <w:rFonts w:ascii="David" w:hAnsi="David" w:cs="David"/>
          <w:sz w:val="24"/>
          <w:szCs w:val="24"/>
          <w:rtl/>
        </w:rPr>
        <w:t xml:space="preserve">התובע והנתבעת (להלן: </w:t>
      </w:r>
      <w:r w:rsidRPr="00004237">
        <w:rPr>
          <w:rFonts w:ascii="David" w:hAnsi="David" w:cs="David"/>
          <w:b/>
          <w:bCs/>
          <w:sz w:val="24"/>
          <w:szCs w:val="24"/>
          <w:rtl/>
        </w:rPr>
        <w:t>"הצדדים"</w:t>
      </w:r>
      <w:r w:rsidRPr="00004237">
        <w:rPr>
          <w:rFonts w:ascii="David" w:hAnsi="David" w:cs="David"/>
          <w:sz w:val="24"/>
          <w:szCs w:val="24"/>
          <w:rtl/>
        </w:rPr>
        <w:t>) נישאו זו לזה כדמו"י ביום</w:t>
      </w:r>
      <w:r w:rsidR="00004237" w:rsidRPr="00004237">
        <w:rPr>
          <w:rFonts w:ascii="David" w:hAnsi="David" w:cs="David" w:hint="cs"/>
          <w:sz w:val="24"/>
          <w:szCs w:val="24"/>
          <w:rtl/>
        </w:rPr>
        <w:t xml:space="preserve"> </w:t>
      </w:r>
      <w:r w:rsidR="00004237" w:rsidRPr="00004237">
        <w:rPr>
          <w:rFonts w:ascii="David" w:hAnsi="David" w:cs="David"/>
          <w:sz w:val="24"/>
          <w:szCs w:val="24"/>
        </w:rPr>
        <w:t>xx.yy.94</w:t>
      </w:r>
      <w:r w:rsidRPr="00004237">
        <w:rPr>
          <w:rFonts w:ascii="David" w:hAnsi="David" w:cs="David"/>
          <w:sz w:val="24"/>
          <w:szCs w:val="24"/>
          <w:rtl/>
        </w:rPr>
        <w:t xml:space="preserve"> והתגרשו ביום </w:t>
      </w:r>
      <w:r w:rsidR="00004237">
        <w:rPr>
          <w:rFonts w:ascii="David" w:hAnsi="David" w:cs="David"/>
          <w:sz w:val="24"/>
          <w:szCs w:val="24"/>
        </w:rPr>
        <w:t>xx.yy.08</w:t>
      </w:r>
      <w:r w:rsidR="00004237">
        <w:rPr>
          <w:rFonts w:ascii="David" w:hAnsi="David" w:cs="David" w:hint="cs"/>
          <w:sz w:val="24"/>
          <w:szCs w:val="24"/>
          <w:rtl/>
        </w:rPr>
        <w:t>.</w:t>
      </w:r>
    </w:p>
    <w:p w:rsidR="00A032DB" w:rsidRDefault="00A032DB" w:rsidP="00A032DB">
      <w:pPr>
        <w:pStyle w:val="ad"/>
        <w:spacing w:line="360" w:lineRule="auto"/>
        <w:jc w:val="both"/>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Pr>
      </w:pPr>
      <w:r>
        <w:rPr>
          <w:rFonts w:ascii="David" w:hAnsi="David" w:cs="David"/>
          <w:sz w:val="24"/>
          <w:szCs w:val="24"/>
          <w:rtl/>
        </w:rPr>
        <w:t>לצדדים ארבעה ילדים משותפים, ילידי 1995, 1998, 2001 ו-2003, מהם שלושה קטינים נכון למועד הגשת ההליך דנן, וכיום בגירים כולם.</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ביום 11.9.07  חתמו הצדדים על </w:t>
      </w:r>
      <w:r>
        <w:rPr>
          <w:rFonts w:ascii="David" w:hAnsi="David" w:cs="David"/>
          <w:b/>
          <w:bCs/>
          <w:sz w:val="24"/>
          <w:szCs w:val="24"/>
          <w:u w:val="single"/>
          <w:rtl/>
        </w:rPr>
        <w:t>הסכם גירושין ויחסי ממון</w:t>
      </w:r>
      <w:r>
        <w:rPr>
          <w:rFonts w:ascii="David" w:hAnsi="David" w:cs="David"/>
          <w:sz w:val="24"/>
          <w:szCs w:val="24"/>
          <w:rtl/>
        </w:rPr>
        <w:t xml:space="preserve"> אשר </w:t>
      </w:r>
      <w:r>
        <w:rPr>
          <w:rFonts w:ascii="David" w:hAnsi="David" w:cs="David"/>
          <w:b/>
          <w:bCs/>
          <w:sz w:val="24"/>
          <w:szCs w:val="24"/>
          <w:u w:val="single"/>
          <w:rtl/>
        </w:rPr>
        <w:t>אושר</w:t>
      </w:r>
      <w:r>
        <w:rPr>
          <w:rFonts w:ascii="David" w:hAnsi="David" w:cs="David"/>
          <w:sz w:val="24"/>
          <w:szCs w:val="24"/>
          <w:rtl/>
        </w:rPr>
        <w:t xml:space="preserve"> ע"י ביהמ"ש לענייני משפחה וקיבל תוקף של פסק-דין ביום 7.10.07 (להלן: </w:t>
      </w:r>
      <w:r>
        <w:rPr>
          <w:rFonts w:ascii="David" w:hAnsi="David" w:cs="David"/>
          <w:b/>
          <w:bCs/>
          <w:sz w:val="24"/>
          <w:szCs w:val="24"/>
          <w:rtl/>
        </w:rPr>
        <w:t>"הסכם הגירושין"</w:t>
      </w:r>
      <w:r>
        <w:rPr>
          <w:rFonts w:ascii="David" w:hAnsi="David" w:cs="David"/>
          <w:sz w:val="24"/>
          <w:szCs w:val="24"/>
          <w:rtl/>
        </w:rPr>
        <w:t xml:space="preserve"> או </w:t>
      </w:r>
      <w:r>
        <w:rPr>
          <w:rFonts w:ascii="David" w:hAnsi="David" w:cs="David"/>
          <w:b/>
          <w:bCs/>
          <w:sz w:val="24"/>
          <w:szCs w:val="24"/>
          <w:rtl/>
        </w:rPr>
        <w:t>"ההסכם הראשון"</w:t>
      </w:r>
      <w:r>
        <w:rPr>
          <w:rFonts w:ascii="David" w:hAnsi="David" w:cs="David"/>
          <w:sz w:val="24"/>
          <w:szCs w:val="24"/>
          <w:rtl/>
        </w:rPr>
        <w:t>).</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המדובר בהסכם גירושין כולל; ש</w:t>
      </w:r>
      <w:r>
        <w:rPr>
          <w:rFonts w:ascii="David" w:hAnsi="David" w:cs="David"/>
          <w:b/>
          <w:bCs/>
          <w:sz w:val="24"/>
          <w:szCs w:val="24"/>
          <w:rtl/>
        </w:rPr>
        <w:t xml:space="preserve">הרלבנטיים מבין סעיפיו למחלוקת דנא </w:t>
      </w:r>
      <w:r>
        <w:rPr>
          <w:rFonts w:ascii="David" w:hAnsi="David" w:cs="David"/>
          <w:sz w:val="24"/>
          <w:szCs w:val="24"/>
          <w:rtl/>
        </w:rPr>
        <w:t>הם אלו העוסקים בבית המגורים.</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בהתייחס לכך קובעים סעיפים 20-30, בין השאר, כי בית המגורים הוא בבעלות הצדדים בחלקים שווים דבר המשתקף ברישום הזכויות; כי המשכנתא תמשיך ותשולם על ידי התובע במלואה (סעיף 20, 18ט'); כי עם הגיע אחרון הילדים לגיל 18 או סיום הלימודים התיכוניים או מועד מוסכם אחר יוצע בית המגורים למכירה ותמורת המכר בניכוי ההוצאות תחולק בין בני הצדדים בחלקים שווים ביניהם (סעיף 21); וכן כי יחידת הדיור שבבית המגורים תמשיך ותושכר ודמי השכירות במלואם יועברו לידי התובע, זאת כל עוד התובע מתגורר בדירה שכורה וככל ויעבור להתגורר בדירה בבעלותו דמי השכירות יחולקו בין בני הזוג (סעיף 30 להסכם).</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9.7.09 חתמו הצדדים על </w:t>
      </w:r>
      <w:r>
        <w:rPr>
          <w:rFonts w:ascii="David" w:hAnsi="David" w:cs="David"/>
          <w:b/>
          <w:bCs/>
          <w:sz w:val="24"/>
          <w:szCs w:val="24"/>
          <w:u w:val="single"/>
          <w:rtl/>
        </w:rPr>
        <w:t>הסכם אחר</w:t>
      </w:r>
      <w:r>
        <w:rPr>
          <w:rFonts w:ascii="David" w:hAnsi="David" w:cs="David"/>
          <w:sz w:val="24"/>
          <w:szCs w:val="24"/>
          <w:rtl/>
        </w:rPr>
        <w:t xml:space="preserve"> הנושא כותרת: "תיקון להסכם גירושין ויחסי ממון" אשר </w:t>
      </w:r>
      <w:r>
        <w:rPr>
          <w:rFonts w:ascii="David" w:hAnsi="David" w:cs="David"/>
          <w:b/>
          <w:bCs/>
          <w:sz w:val="24"/>
          <w:szCs w:val="24"/>
          <w:u w:val="single"/>
          <w:rtl/>
        </w:rPr>
        <w:t>אושר</w:t>
      </w:r>
      <w:r>
        <w:rPr>
          <w:rFonts w:ascii="David" w:hAnsi="David" w:cs="David"/>
          <w:sz w:val="24"/>
          <w:szCs w:val="24"/>
          <w:rtl/>
        </w:rPr>
        <w:t xml:space="preserve"> ע"י ביהמ"ש לענייני משפחה וקיבל תוקף פסק דין ביום 14.7.09 (להלן: </w:t>
      </w:r>
      <w:r>
        <w:rPr>
          <w:rFonts w:ascii="David" w:hAnsi="David" w:cs="David"/>
          <w:b/>
          <w:bCs/>
          <w:sz w:val="24"/>
          <w:szCs w:val="24"/>
          <w:rtl/>
        </w:rPr>
        <w:t xml:space="preserve">"הסכם המתוקן" </w:t>
      </w:r>
      <w:r>
        <w:rPr>
          <w:rFonts w:ascii="David" w:hAnsi="David" w:cs="David"/>
          <w:sz w:val="24"/>
          <w:szCs w:val="24"/>
          <w:rtl/>
        </w:rPr>
        <w:t xml:space="preserve">או </w:t>
      </w:r>
      <w:r>
        <w:rPr>
          <w:rFonts w:ascii="David" w:hAnsi="David" w:cs="David"/>
          <w:b/>
          <w:bCs/>
          <w:sz w:val="24"/>
          <w:szCs w:val="24"/>
          <w:rtl/>
        </w:rPr>
        <w:t>"ההסכם השני"</w:t>
      </w:r>
      <w:r>
        <w:rPr>
          <w:rFonts w:ascii="David" w:hAnsi="David" w:cs="David"/>
          <w:sz w:val="24"/>
          <w:szCs w:val="24"/>
          <w:rtl/>
        </w:rPr>
        <w:t>).</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ההסכם המתוקן כולו עניינו בית המגורים. במסגרתו נקבע, בין היתר, כי הוראות סעיפים 21-30 להסכם הגירושין </w:t>
      </w:r>
      <w:r>
        <w:rPr>
          <w:rFonts w:ascii="David" w:hAnsi="David" w:cs="David"/>
          <w:b/>
          <w:bCs/>
          <w:i/>
          <w:iCs/>
          <w:sz w:val="24"/>
          <w:szCs w:val="24"/>
          <w:rtl/>
        </w:rPr>
        <w:t>ישונו</w:t>
      </w:r>
      <w:r>
        <w:rPr>
          <w:rFonts w:ascii="David" w:hAnsi="David" w:cs="David"/>
          <w:sz w:val="24"/>
          <w:szCs w:val="24"/>
          <w:rtl/>
        </w:rPr>
        <w:t xml:space="preserve"> והתובע יעביר את זכויותיו בבית לידי הנתבעת (סעיף 3);כך גם נקבע, כי הנתבעת מתחייבת בהתחייבות בלתי חוזרת שאם תמכור את הבית בעתיד תעביר סכום של 200,000 ₪ מכספי התמורה לכל אחד מארבעת ילדי בני הזוג (סעיף 5). </w:t>
      </w:r>
    </w:p>
    <w:p w:rsidR="00A032DB" w:rsidRDefault="00A032DB" w:rsidP="00A032DB">
      <w:pPr>
        <w:pStyle w:val="ad"/>
        <w:rPr>
          <w:rFonts w:ascii="David" w:hAnsi="David" w:cs="David"/>
          <w:sz w:val="24"/>
          <w:szCs w:val="24"/>
        </w:rPr>
      </w:pPr>
    </w:p>
    <w:p w:rsidR="00A032DB" w:rsidRDefault="00A032DB" w:rsidP="00A032DB">
      <w:pPr>
        <w:pStyle w:val="ad"/>
        <w:spacing w:line="360" w:lineRule="auto"/>
        <w:jc w:val="both"/>
        <w:rPr>
          <w:rFonts w:ascii="David" w:hAnsi="David" w:cs="David"/>
          <w:sz w:val="24"/>
          <w:szCs w:val="24"/>
          <w:rtl/>
        </w:rPr>
      </w:pPr>
      <w:r>
        <w:rPr>
          <w:rFonts w:ascii="David" w:hAnsi="David" w:cs="David"/>
          <w:sz w:val="24"/>
          <w:szCs w:val="24"/>
          <w:rtl/>
        </w:rPr>
        <w:t>כן נקבע בסעיף 6, כי אין בהתחייבות שבסעיף 5 לעיל כדי לפגוע בזכות המגורים הבלעדית של הנתבעת בבית ולא יהא לילדים או למי מהם כל זכות קניינית בבית ו/או (כך במקור-ה.מ-ש)</w:t>
      </w:r>
      <w:r w:rsidR="00ED7C20">
        <w:rPr>
          <w:rFonts w:ascii="David" w:hAnsi="David" w:cs="David" w:hint="cs"/>
          <w:sz w:val="24"/>
          <w:szCs w:val="24"/>
          <w:rtl/>
        </w:rPr>
        <w:t xml:space="preserve"> </w:t>
      </w:r>
      <w:r>
        <w:rPr>
          <w:rFonts w:ascii="David" w:hAnsi="David" w:cs="David"/>
          <w:sz w:val="24"/>
          <w:szCs w:val="24"/>
          <w:rtl/>
        </w:rPr>
        <w:t>זכות תביעה כל עוד הבית לא נמכר. הוסכם כי יתר הוראות ההסכם יעמדו בתוקפן.</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9.7.09 נחתם בין הצדדים </w:t>
      </w:r>
      <w:r>
        <w:rPr>
          <w:rFonts w:ascii="David" w:hAnsi="David" w:cs="David"/>
          <w:b/>
          <w:bCs/>
          <w:sz w:val="24"/>
          <w:szCs w:val="24"/>
          <w:u w:val="single"/>
          <w:rtl/>
        </w:rPr>
        <w:t>הסכם נוסף,</w:t>
      </w:r>
      <w:r>
        <w:rPr>
          <w:rFonts w:ascii="David" w:hAnsi="David" w:cs="David"/>
          <w:sz w:val="24"/>
          <w:szCs w:val="24"/>
          <w:rtl/>
        </w:rPr>
        <w:t xml:space="preserve"> כאשר הצדדים חלוקים ביניהם על נסיבות חתימתו וטיבו של ההסכם; ברם אין מחלוקת כי הסכם זה </w:t>
      </w:r>
      <w:r>
        <w:rPr>
          <w:rFonts w:ascii="David" w:hAnsi="David" w:cs="David"/>
          <w:b/>
          <w:bCs/>
          <w:sz w:val="24"/>
          <w:szCs w:val="24"/>
          <w:u w:val="single"/>
          <w:rtl/>
        </w:rPr>
        <w:t>לא אושר</w:t>
      </w:r>
      <w:r>
        <w:rPr>
          <w:rFonts w:ascii="David" w:hAnsi="David" w:cs="David"/>
          <w:sz w:val="24"/>
          <w:szCs w:val="24"/>
          <w:rtl/>
        </w:rPr>
        <w:t xml:space="preserve"> ע"י בית המשפט (להלן: </w:t>
      </w:r>
      <w:r>
        <w:rPr>
          <w:rFonts w:ascii="David" w:hAnsi="David" w:cs="David"/>
          <w:b/>
          <w:bCs/>
          <w:sz w:val="24"/>
          <w:szCs w:val="24"/>
          <w:rtl/>
        </w:rPr>
        <w:t>"ההסכם השלישי"</w:t>
      </w:r>
      <w:r>
        <w:rPr>
          <w:rFonts w:ascii="David" w:hAnsi="David" w:cs="David"/>
          <w:sz w:val="24"/>
          <w:szCs w:val="24"/>
          <w:rtl/>
        </w:rPr>
        <w:t>).</w:t>
      </w:r>
    </w:p>
    <w:p w:rsidR="00A032DB" w:rsidRDefault="00A032DB" w:rsidP="00A032DB">
      <w:pPr>
        <w:pStyle w:val="ad"/>
        <w:rPr>
          <w:rFonts w:ascii="David" w:hAnsi="David" w:cs="David"/>
          <w:sz w:val="24"/>
          <w:szCs w:val="24"/>
        </w:rPr>
      </w:pPr>
    </w:p>
    <w:p w:rsidR="00A032DB" w:rsidRDefault="00A032DB" w:rsidP="0058541E">
      <w:pPr>
        <w:pStyle w:val="ad"/>
        <w:numPr>
          <w:ilvl w:val="0"/>
          <w:numId w:val="1"/>
        </w:numPr>
        <w:spacing w:line="360" w:lineRule="auto"/>
        <w:jc w:val="both"/>
        <w:rPr>
          <w:rFonts w:ascii="David" w:hAnsi="David" w:cs="David"/>
          <w:sz w:val="24"/>
          <w:szCs w:val="24"/>
          <w:rtl/>
        </w:rPr>
      </w:pPr>
      <w:r>
        <w:rPr>
          <w:rFonts w:ascii="David" w:hAnsi="David" w:cs="David"/>
          <w:sz w:val="24"/>
          <w:szCs w:val="24"/>
          <w:rtl/>
        </w:rPr>
        <w:t>כחלק מראיותיו צרף התובע שטר חוב ע"ס 750,000 ₪ וכן צוואה של הנתבעת; אשר לטענתו (ולנתבעת טעמיה) נחתמו כמסמכים לגיבוי ביצועו ויישומו של ההסכם השלישי (ר</w:t>
      </w:r>
      <w:r w:rsidR="0058541E">
        <w:rPr>
          <w:rFonts w:ascii="David" w:hAnsi="David" w:cs="David" w:hint="cs"/>
          <w:sz w:val="24"/>
          <w:szCs w:val="24"/>
          <w:rtl/>
        </w:rPr>
        <w:t>'</w:t>
      </w:r>
      <w:r>
        <w:rPr>
          <w:rFonts w:ascii="David" w:hAnsi="David" w:cs="David"/>
          <w:sz w:val="24"/>
          <w:szCs w:val="24"/>
          <w:rtl/>
        </w:rPr>
        <w:t xml:space="preserve"> צרופות ה ו-ו' לכתב התביעה). </w:t>
      </w:r>
    </w:p>
    <w:p w:rsidR="00A032DB" w:rsidRDefault="00A032DB" w:rsidP="00A032DB">
      <w:pPr>
        <w:spacing w:line="360" w:lineRule="auto"/>
        <w:jc w:val="both"/>
        <w:rPr>
          <w:rFonts w:ascii="David" w:hAnsi="David"/>
          <w:b/>
          <w:bCs/>
          <w:u w:val="single"/>
          <w:rtl/>
        </w:rPr>
      </w:pPr>
      <w:r>
        <w:rPr>
          <w:rFonts w:ascii="David" w:hAnsi="David"/>
          <w:b/>
          <w:bCs/>
          <w:u w:val="single"/>
          <w:rtl/>
        </w:rPr>
        <w:lastRenderedPageBreak/>
        <w:t>השתלשלות דיונית</w:t>
      </w:r>
    </w:p>
    <w:p w:rsidR="00A032DB" w:rsidRDefault="00A032DB" w:rsidP="00A032DB">
      <w:pPr>
        <w:pStyle w:val="ad"/>
        <w:numPr>
          <w:ilvl w:val="0"/>
          <w:numId w:val="1"/>
        </w:numPr>
        <w:spacing w:line="360" w:lineRule="auto"/>
        <w:jc w:val="both"/>
        <w:rPr>
          <w:rFonts w:ascii="David" w:hAnsi="David" w:cs="David"/>
          <w:b/>
          <w:bCs/>
          <w:i/>
          <w:iCs/>
          <w:sz w:val="24"/>
          <w:szCs w:val="24"/>
          <w:rtl/>
        </w:rPr>
      </w:pPr>
      <w:r>
        <w:rPr>
          <w:rFonts w:ascii="David" w:hAnsi="David" w:cs="David"/>
          <w:sz w:val="24"/>
          <w:szCs w:val="24"/>
          <w:rtl/>
        </w:rPr>
        <w:t xml:space="preserve">פסק-דין זה ניתן, כאמור, לאחר שההליך </w:t>
      </w:r>
      <w:r>
        <w:rPr>
          <w:rFonts w:ascii="David" w:hAnsi="David" w:cs="David"/>
          <w:b/>
          <w:bCs/>
          <w:i/>
          <w:iCs/>
          <w:sz w:val="24"/>
          <w:szCs w:val="24"/>
          <w:rtl/>
        </w:rPr>
        <w:t xml:space="preserve">שב להידון לפני ערכאה זו, </w:t>
      </w:r>
      <w:r>
        <w:rPr>
          <w:rFonts w:ascii="David" w:hAnsi="David" w:cs="David"/>
          <w:sz w:val="24"/>
          <w:szCs w:val="24"/>
          <w:rtl/>
        </w:rPr>
        <w:t>בהתאם לפסק-דינו של בית המשפט המחוזי בערעור שהוגש ע"י התוב</w:t>
      </w:r>
      <w:r w:rsidR="00112901">
        <w:rPr>
          <w:rFonts w:ascii="David" w:hAnsi="David" w:cs="David"/>
          <w:sz w:val="24"/>
          <w:szCs w:val="24"/>
          <w:rtl/>
        </w:rPr>
        <w:t>ע על פסק-דינה של כב' השופטת מ</w:t>
      </w:r>
      <w:r w:rsidR="00112901">
        <w:rPr>
          <w:rFonts w:ascii="David" w:hAnsi="David" w:cs="David" w:hint="cs"/>
          <w:sz w:val="24"/>
          <w:szCs w:val="24"/>
          <w:rtl/>
        </w:rPr>
        <w:t>'</w:t>
      </w:r>
      <w:r>
        <w:rPr>
          <w:rFonts w:ascii="David" w:hAnsi="David" w:cs="David"/>
          <w:sz w:val="24"/>
          <w:szCs w:val="24"/>
          <w:rtl/>
        </w:rPr>
        <w:t xml:space="preserve"> קראוס מיום 8.8.16 (להלן: </w:t>
      </w:r>
      <w:r>
        <w:rPr>
          <w:rFonts w:ascii="David" w:hAnsi="David" w:cs="David"/>
          <w:b/>
          <w:bCs/>
          <w:sz w:val="24"/>
          <w:szCs w:val="24"/>
          <w:rtl/>
        </w:rPr>
        <w:t>"פסה"ד מיום 8.8.16"</w:t>
      </w:r>
      <w:r>
        <w:rPr>
          <w:rFonts w:ascii="David" w:hAnsi="David" w:cs="David"/>
          <w:sz w:val="24"/>
          <w:szCs w:val="24"/>
          <w:rtl/>
        </w:rPr>
        <w:t>).</w:t>
      </w:r>
    </w:p>
    <w:p w:rsidR="00A032DB" w:rsidRDefault="00A032DB" w:rsidP="00A032DB">
      <w:pPr>
        <w:pStyle w:val="ad"/>
        <w:spacing w:line="360" w:lineRule="auto"/>
        <w:jc w:val="both"/>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Pr>
      </w:pPr>
      <w:r>
        <w:rPr>
          <w:rFonts w:ascii="David" w:hAnsi="David" w:cs="David"/>
          <w:sz w:val="24"/>
          <w:szCs w:val="24"/>
          <w:rtl/>
        </w:rPr>
        <w:t>פסה"ד מיום 8.8.16 הכריע במכלול ההליכים שנוהלו בין הצדדים שעניינם – מיטלטלין, רכב ועתירת התובע לביטול ההסכם השני, אשר נערך בין הצדדים וסעיפי חיובו במשכנתא כפי שנקבע בהסכם הגירושין הראשון, זאת כאשר ההכרעה בסוגיה האחרונה, העומדת  עתה בלב המחלוקת שלפניי- ניתנה על יסוד תקנה 191 לתקנות סדר הדין תשמ"ד-  1984, לפיה:</w:t>
      </w:r>
      <w:r>
        <w:rPr>
          <w:rFonts w:ascii="FrankRuehl" w:hAnsi="FrankRuehl" w:cs="FrankRuehl"/>
          <w:sz w:val="26"/>
          <w:szCs w:val="26"/>
          <w:rtl/>
        </w:rPr>
        <w:t xml:space="preserve"> </w:t>
      </w:r>
      <w:r>
        <w:rPr>
          <w:rStyle w:val="default"/>
          <w:rFonts w:ascii="David" w:hAnsi="David" w:cs="David"/>
          <w:sz w:val="24"/>
          <w:szCs w:val="24"/>
          <w:rtl/>
        </w:rPr>
        <w:t>"</w:t>
      </w:r>
      <w:r>
        <w:rPr>
          <w:rStyle w:val="default"/>
          <w:rFonts w:ascii="David" w:hAnsi="David" w:cs="David"/>
          <w:b/>
          <w:bCs/>
          <w:sz w:val="24"/>
          <w:szCs w:val="24"/>
          <w:rtl/>
        </w:rPr>
        <w:t>בית המשפט רשאי, בכל שלב משלבי הדיון, להוציא פסק דין באחת התביעות שבתובענה או בחלק מתביעה, וליתן את הסעד הנתבע, כולו או מקצתו, לאותה תביעה או לחלקה, או לסרב לתיתו, כל אימת שנראה לבית המשפט שאין בהמשך הדיון כדי לשנות את הממצאים לגבי העובדות המהותיות או לגבי השאלות העומדות להכרעה לענין התביעה או הסעד כאמור".</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b/>
          <w:bCs/>
          <w:i/>
          <w:iCs/>
          <w:sz w:val="24"/>
          <w:szCs w:val="24"/>
          <w:rtl/>
        </w:rPr>
      </w:pPr>
      <w:r>
        <w:rPr>
          <w:rFonts w:ascii="David" w:hAnsi="David" w:cs="David"/>
          <w:sz w:val="24"/>
          <w:szCs w:val="24"/>
          <w:rtl/>
        </w:rPr>
        <w:t xml:space="preserve">ביום 25.10.17 ניתן פסה"ד בערעור (עמ"ש 35646-10-16) אשר דחה, בהסכמה, את הערעורים הנוגעים לסוגיית המיטלטלין ולסוגיית הרכב וקבעה, כי ערכאה זו תמשיך ותדון בהליך דנא הנוגע לביטול ההסכם; כלשון פסה"ד: </w:t>
      </w:r>
      <w:r>
        <w:rPr>
          <w:rFonts w:ascii="David" w:hAnsi="David" w:cs="David"/>
          <w:b/>
          <w:bCs/>
          <w:i/>
          <w:iCs/>
          <w:sz w:val="24"/>
          <w:szCs w:val="24"/>
          <w:rtl/>
        </w:rPr>
        <w:t xml:space="preserve">"בהסכמת הצדדים הערעורים הנוגעים לסוגיית המיטלטלין ולסוגיית הרכב יידחו. </w:t>
      </w:r>
      <w:r>
        <w:rPr>
          <w:rFonts w:ascii="David" w:hAnsi="David" w:cs="David"/>
          <w:i/>
          <w:iCs/>
          <w:sz w:val="24"/>
          <w:szCs w:val="24"/>
          <w:rtl/>
        </w:rPr>
        <w:t xml:space="preserve"> </w:t>
      </w:r>
      <w:r>
        <w:rPr>
          <w:rFonts w:ascii="David" w:hAnsi="David" w:cs="David"/>
          <w:b/>
          <w:bCs/>
          <w:i/>
          <w:iCs/>
          <w:sz w:val="24"/>
          <w:szCs w:val="24"/>
          <w:rtl/>
        </w:rPr>
        <w:t>הוראות פסק הדין בעניין תה"ס 11177-09-14 יבוטלו. בית המשפט קמא ימשיך וידון בתביעה זו בלבד על פי שיקול דעתו. הוצאות המשפט בהליך בית משפט קמא יועמדו על סך 7,500 ₪ בלבד."</w:t>
      </w:r>
    </w:p>
    <w:p w:rsidR="00A032DB" w:rsidRDefault="00A032DB" w:rsidP="00A032DB">
      <w:pPr>
        <w:pStyle w:val="ad"/>
        <w:spacing w:line="360" w:lineRule="auto"/>
        <w:jc w:val="both"/>
        <w:rPr>
          <w:rFonts w:ascii="David" w:hAnsi="David" w:cs="David"/>
          <w:b/>
          <w:bCs/>
          <w:i/>
          <w:iCs/>
          <w:sz w:val="24"/>
          <w:szCs w:val="24"/>
        </w:rPr>
      </w:pPr>
    </w:p>
    <w:p w:rsidR="00A032DB" w:rsidRDefault="00A032DB" w:rsidP="00A032DB">
      <w:pPr>
        <w:pStyle w:val="ad"/>
        <w:numPr>
          <w:ilvl w:val="0"/>
          <w:numId w:val="1"/>
        </w:numPr>
        <w:spacing w:line="360" w:lineRule="auto"/>
        <w:jc w:val="both"/>
        <w:rPr>
          <w:rtl/>
        </w:rPr>
      </w:pPr>
      <w:r>
        <w:rPr>
          <w:rFonts w:ascii="David" w:hAnsi="David" w:cs="David"/>
          <w:sz w:val="24"/>
          <w:szCs w:val="24"/>
          <w:rtl/>
        </w:rPr>
        <w:t>בהתאם, שבו הצדדים להתדיין בערכאה זו; תחילה נקבע כי יישמעו לפני כב' השופט עובד אליאס; במסגרת דיון ביום 17.5.18 שנערך לפניו הגיעו הצדדים להסכמות פרוצדוראליות, שקיבלו תוקף החלטה באותו המועד:</w:t>
      </w:r>
      <w:r>
        <w:rPr>
          <w:rFonts w:ascii="David" w:hAnsi="David" w:cs="David"/>
          <w:b/>
          <w:bCs/>
          <w:i/>
          <w:iCs/>
          <w:sz w:val="24"/>
          <w:szCs w:val="24"/>
          <w:rtl/>
        </w:rPr>
        <w:t xml:space="preserve"> "</w:t>
      </w:r>
      <w:r>
        <w:rPr>
          <w:rFonts w:ascii="David" w:hAnsi="David" w:cs="David"/>
          <w:b/>
          <w:bCs/>
          <w:i/>
          <w:iCs/>
          <w:sz w:val="24"/>
          <w:szCs w:val="24"/>
          <w:u w:val="single"/>
          <w:rtl/>
        </w:rPr>
        <w:t>ב"כ הצדדים:</w:t>
      </w:r>
      <w:r>
        <w:rPr>
          <w:rFonts w:ascii="David" w:hAnsi="David" w:cs="David"/>
          <w:b/>
          <w:bCs/>
          <w:i/>
          <w:iCs/>
          <w:sz w:val="24"/>
          <w:szCs w:val="24"/>
          <w:rtl/>
        </w:rPr>
        <w:t xml:space="preserve"> מוסכם עלינו, לאחר כל ההליכים שהתנהלו בין הצדדים בערכאות השונות, כי הנושא היחיד שנדרש להכריע בו הוא נושא בית המגורים. האישה טוענת כי היא בעלת מלוא הזכויות בבית המגורים מכוח הסכם גירושין שקיבל תוקף של פסק דין, בעוד שהבעל טוען כי אין  תוקף לאותו הסכם וכי הזכויות בבית המגורים הם של שני הצדדים בחלקים שווים ביניהם. יוצא כי התיק היחיד שצריך להיוותר פתוח הוא תיק 10620-12-14."</w:t>
      </w:r>
      <w:r>
        <w:rPr>
          <w:rFonts w:ascii="David" w:hAnsi="David" w:cs="David"/>
          <w:b/>
          <w:bCs/>
          <w:sz w:val="24"/>
          <w:szCs w:val="24"/>
          <w:rtl/>
        </w:rPr>
        <w:t xml:space="preserve"> </w:t>
      </w:r>
      <w:r>
        <w:rPr>
          <w:rFonts w:ascii="David" w:hAnsi="David" w:cs="David"/>
          <w:sz w:val="24"/>
          <w:szCs w:val="24"/>
          <w:rtl/>
        </w:rPr>
        <w:t>(עמ' 35 לפרוט' ש' 14-20).</w:t>
      </w:r>
    </w:p>
    <w:p w:rsidR="00A032DB" w:rsidRDefault="00A032DB" w:rsidP="00A032DB">
      <w:pPr>
        <w:pStyle w:val="ad"/>
        <w:spacing w:line="360" w:lineRule="auto"/>
        <w:jc w:val="both"/>
        <w:rPr>
          <w:rFonts w:ascii="David" w:hAnsi="David" w:cs="David"/>
          <w:sz w:val="24"/>
          <w:szCs w:val="24"/>
          <w:rtl/>
        </w:rPr>
      </w:pPr>
    </w:p>
    <w:p w:rsidR="00A032DB" w:rsidRDefault="00A032DB" w:rsidP="00A032D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קבע כב' השופט אליאס בהחלטתו מיום 17.5.18 קבע כי </w:t>
      </w:r>
      <w:r>
        <w:rPr>
          <w:rFonts w:ascii="David" w:hAnsi="David" w:cs="David"/>
          <w:b/>
          <w:bCs/>
          <w:i/>
          <w:iCs/>
          <w:sz w:val="24"/>
          <w:szCs w:val="24"/>
          <w:rtl/>
        </w:rPr>
        <w:t>המתווה הדיוני לבירור התיק לעת חזרתו מערכאת הערעור יהא על דרך שמיעת ההליך לכתחילה</w:t>
      </w:r>
      <w:r>
        <w:rPr>
          <w:rFonts w:ascii="David" w:hAnsi="David" w:cs="David"/>
          <w:sz w:val="24"/>
          <w:szCs w:val="24"/>
          <w:rtl/>
        </w:rPr>
        <w:t>; בין היתר קבע כך:</w:t>
      </w:r>
    </w:p>
    <w:p w:rsidR="00A032DB" w:rsidRDefault="00A032DB" w:rsidP="00A032DB">
      <w:pPr>
        <w:pStyle w:val="ad"/>
        <w:rPr>
          <w:rFonts w:ascii="David" w:hAnsi="David" w:cs="David"/>
          <w:sz w:val="24"/>
          <w:szCs w:val="24"/>
        </w:rPr>
      </w:pPr>
    </w:p>
    <w:p w:rsidR="00A032DB" w:rsidRDefault="00A032DB" w:rsidP="00A032DB">
      <w:pPr>
        <w:pStyle w:val="ad"/>
        <w:spacing w:line="360" w:lineRule="auto"/>
        <w:jc w:val="both"/>
        <w:rPr>
          <w:rFonts w:ascii="David" w:hAnsi="David" w:cs="David"/>
          <w:b/>
          <w:bCs/>
          <w:i/>
          <w:iCs/>
          <w:sz w:val="24"/>
          <w:szCs w:val="24"/>
          <w:rtl/>
        </w:rPr>
      </w:pPr>
      <w:r>
        <w:rPr>
          <w:rFonts w:ascii="David" w:hAnsi="David" w:cs="David"/>
          <w:b/>
          <w:bCs/>
          <w:i/>
          <w:iCs/>
          <w:sz w:val="24"/>
          <w:szCs w:val="24"/>
          <w:rtl/>
        </w:rPr>
        <w:t xml:space="preserve">"ביום 25/10/17 ניתן פסק דין בערכאת הערעור, בימ"ש מחוזי, מחוז מרכז-לוד. בהתאם לפסק הדין, תם הדיון בעניין הרכב ובעניין המיטלטלין אשר התקיים בין הצדדים. כל </w:t>
      </w:r>
      <w:r>
        <w:rPr>
          <w:rFonts w:ascii="David" w:hAnsi="David" w:cs="David"/>
          <w:b/>
          <w:bCs/>
          <w:i/>
          <w:iCs/>
          <w:sz w:val="24"/>
          <w:szCs w:val="24"/>
          <w:rtl/>
        </w:rPr>
        <w:lastRenderedPageBreak/>
        <w:t xml:space="preserve">שנותר לדון, הוא תיק מספר 10620-12-14 שעניינו: עתירה של הבעל לביטול התוספת להסכם הגירושין שבה העניק לאישה את זכויותיו בבית המגורים המשותף של הצדדים. </w:t>
      </w:r>
    </w:p>
    <w:p w:rsidR="00A032DB" w:rsidRDefault="00A032DB" w:rsidP="00A032DB">
      <w:pPr>
        <w:pStyle w:val="ad"/>
        <w:spacing w:line="360" w:lineRule="auto"/>
        <w:jc w:val="both"/>
        <w:rPr>
          <w:rFonts w:ascii="David" w:hAnsi="David" w:cs="David"/>
          <w:b/>
          <w:bCs/>
          <w:i/>
          <w:iCs/>
          <w:sz w:val="24"/>
          <w:szCs w:val="24"/>
        </w:rPr>
      </w:pPr>
      <w:r>
        <w:rPr>
          <w:rFonts w:ascii="David" w:hAnsi="David" w:cs="David"/>
          <w:b/>
          <w:bCs/>
          <w:i/>
          <w:iCs/>
          <w:sz w:val="24"/>
          <w:szCs w:val="24"/>
          <w:rtl/>
        </w:rPr>
        <w:t xml:space="preserve">הבעל טוען כי מדובר בהענקה למראית עין, בנסיבות מסוימות ששררו באותה עת, ועל כן עותר לביטולה, הגם שקיבלה תוקף של פסק דין, והאישה מתנגדת לכך. </w:t>
      </w:r>
    </w:p>
    <w:p w:rsidR="00A032DB" w:rsidRDefault="00A032DB" w:rsidP="00A032DB">
      <w:pPr>
        <w:pStyle w:val="ad"/>
        <w:spacing w:line="360" w:lineRule="auto"/>
        <w:jc w:val="both"/>
        <w:rPr>
          <w:rFonts w:ascii="David" w:hAnsi="David" w:cs="David"/>
          <w:b/>
          <w:bCs/>
          <w:i/>
          <w:iCs/>
          <w:sz w:val="24"/>
          <w:szCs w:val="24"/>
          <w:rtl/>
        </w:rPr>
      </w:pPr>
      <w:r>
        <w:rPr>
          <w:rFonts w:ascii="David" w:hAnsi="David" w:cs="David"/>
          <w:b/>
          <w:bCs/>
          <w:i/>
          <w:iCs/>
          <w:sz w:val="24"/>
          <w:szCs w:val="24"/>
          <w:rtl/>
        </w:rPr>
        <w:t xml:space="preserve">ביהמ"ש המחוזי החזיר, כאמור, את התיק לבימ"ש זה לדון בנושא היחיד הנ"ל, וכשהוא מותיר לשיקול דעת בימ"ש זה את אופן הדיון. התיקים נדונו בעבר אצל כב' השופטת קראוס, ובשים לב להחלטה שניתנה, הועבר הדיון למותב זה. </w:t>
      </w:r>
    </w:p>
    <w:p w:rsidR="00A032DB" w:rsidRDefault="00A032DB" w:rsidP="00A032DB">
      <w:pPr>
        <w:pStyle w:val="ad"/>
        <w:spacing w:line="360" w:lineRule="auto"/>
        <w:jc w:val="both"/>
        <w:rPr>
          <w:rFonts w:ascii="David" w:hAnsi="David" w:cs="David"/>
          <w:b/>
          <w:bCs/>
          <w:i/>
          <w:iCs/>
          <w:sz w:val="24"/>
          <w:szCs w:val="24"/>
          <w:rtl/>
        </w:rPr>
      </w:pPr>
      <w:r>
        <w:rPr>
          <w:rFonts w:ascii="David" w:hAnsi="David" w:cs="David"/>
          <w:b/>
          <w:bCs/>
          <w:i/>
          <w:iCs/>
          <w:sz w:val="24"/>
          <w:szCs w:val="24"/>
          <w:rtl/>
        </w:rPr>
        <w:t xml:space="preserve">בנסיבות האמורות אני סבור כי יש לקבוע את התיק להוכחות. </w:t>
      </w:r>
    </w:p>
    <w:p w:rsidR="00A032DB" w:rsidRDefault="00A032DB" w:rsidP="00A032DB">
      <w:pPr>
        <w:pStyle w:val="ad"/>
        <w:spacing w:line="360" w:lineRule="auto"/>
        <w:jc w:val="both"/>
        <w:rPr>
          <w:rFonts w:ascii="David" w:eastAsia="Times New Roman" w:hAnsi="David" w:cs="David"/>
          <w:sz w:val="24"/>
          <w:szCs w:val="24"/>
          <w:rtl/>
        </w:rPr>
      </w:pPr>
      <w:r>
        <w:rPr>
          <w:rFonts w:ascii="David" w:hAnsi="David" w:cs="David"/>
          <w:b/>
          <w:bCs/>
          <w:i/>
          <w:iCs/>
          <w:sz w:val="24"/>
          <w:szCs w:val="24"/>
          <w:rtl/>
        </w:rPr>
        <w:t xml:space="preserve">ברי כי כל שנאמר במסגרת הדיון הקודם יוכל לשמש גם בהליך כאן, אולם אין מנוס אלא מלשמוע את התיק מחדש, כולל את העדים שנשמעו בזמנו, כאשר, כאמור, יוכל כל צד, לפי רצונו, להסתמך ולעמת את העדים במה שאמרו קודם לכן במסגרת הדיונים שהתקיימו אצל כב' השופטת קראוס." </w:t>
      </w:r>
      <w:r>
        <w:rPr>
          <w:rFonts w:ascii="David" w:eastAsia="Times New Roman" w:hAnsi="David" w:cs="David"/>
          <w:sz w:val="24"/>
          <w:szCs w:val="24"/>
          <w:rtl/>
        </w:rPr>
        <w:t>(עמ' 36-37 לפרוט').</w:t>
      </w:r>
    </w:p>
    <w:p w:rsidR="00A032DB" w:rsidRDefault="00A032DB" w:rsidP="00A032DB">
      <w:pPr>
        <w:pStyle w:val="ad"/>
        <w:spacing w:after="0" w:line="360" w:lineRule="auto"/>
        <w:jc w:val="both"/>
        <w:rPr>
          <w:rFonts w:ascii="David" w:eastAsia="Times New Roman" w:hAnsi="David" w:cs="David"/>
          <w:sz w:val="24"/>
          <w:szCs w:val="24"/>
        </w:rPr>
      </w:pPr>
    </w:p>
    <w:p w:rsidR="00A032DB" w:rsidRDefault="00A032DB" w:rsidP="00220B79">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למען הסדר הטוב, יצוין, כי במסגרת שמיעת התיק ע"י כב' השופטת קראוס נשמעו עדויות התובע ועוה"ד הס שערך את ההסכם שלביטולו עותר התובע, כמו גם את ההסכם השלישי והמסמכים הנלווים; ברם, </w:t>
      </w:r>
      <w:r>
        <w:rPr>
          <w:rFonts w:ascii="David" w:eastAsia="Times New Roman" w:hAnsi="David" w:cs="David"/>
          <w:b/>
          <w:bCs/>
          <w:i/>
          <w:iCs/>
          <w:sz w:val="24"/>
          <w:szCs w:val="24"/>
          <w:rtl/>
        </w:rPr>
        <w:t>לא נשמעה עדות הנתבעת</w:t>
      </w:r>
      <w:r>
        <w:rPr>
          <w:rFonts w:ascii="David" w:eastAsia="Times New Roman" w:hAnsi="David" w:cs="David"/>
          <w:sz w:val="24"/>
          <w:szCs w:val="24"/>
          <w:rtl/>
        </w:rPr>
        <w:t xml:space="preserve"> (ר' סעיפים 44-45 לפסק הדין מיום 8.8.2016 בעמ' 8); </w:t>
      </w:r>
      <w:r>
        <w:rPr>
          <w:rFonts w:ascii="David" w:eastAsia="Times New Roman" w:hAnsi="David" w:cs="David"/>
          <w:b/>
          <w:bCs/>
          <w:i/>
          <w:iCs/>
          <w:sz w:val="24"/>
          <w:szCs w:val="24"/>
          <w:rtl/>
        </w:rPr>
        <w:t>כך גם בחר התובע</w:t>
      </w:r>
      <w:r>
        <w:rPr>
          <w:rFonts w:ascii="David" w:eastAsia="Times New Roman" w:hAnsi="David" w:cs="David"/>
          <w:i/>
          <w:iCs/>
          <w:sz w:val="24"/>
          <w:szCs w:val="24"/>
          <w:rtl/>
        </w:rPr>
        <w:t xml:space="preserve"> </w:t>
      </w:r>
      <w:r>
        <w:rPr>
          <w:rFonts w:ascii="David" w:eastAsia="Times New Roman" w:hAnsi="David" w:cs="David"/>
          <w:b/>
          <w:bCs/>
          <w:i/>
          <w:iCs/>
          <w:sz w:val="24"/>
          <w:szCs w:val="24"/>
          <w:rtl/>
        </w:rPr>
        <w:t>במסגרת שמיעת ההליך הפעם</w:t>
      </w:r>
      <w:r>
        <w:rPr>
          <w:rFonts w:ascii="David" w:eastAsia="Times New Roman" w:hAnsi="David" w:cs="David"/>
          <w:i/>
          <w:iCs/>
          <w:sz w:val="24"/>
          <w:szCs w:val="24"/>
          <w:rtl/>
        </w:rPr>
        <w:t xml:space="preserve"> </w:t>
      </w:r>
      <w:r>
        <w:rPr>
          <w:rFonts w:ascii="David" w:eastAsia="Times New Roman" w:hAnsi="David" w:cs="David"/>
          <w:sz w:val="24"/>
          <w:szCs w:val="24"/>
          <w:rtl/>
        </w:rPr>
        <w:t xml:space="preserve">להגיש </w:t>
      </w:r>
      <w:r>
        <w:rPr>
          <w:rFonts w:ascii="David" w:eastAsia="Times New Roman" w:hAnsi="David" w:cs="David"/>
          <w:b/>
          <w:bCs/>
          <w:i/>
          <w:iCs/>
          <w:sz w:val="24"/>
          <w:szCs w:val="24"/>
          <w:rtl/>
        </w:rPr>
        <w:t>תצהיר נוסף</w:t>
      </w:r>
      <w:r>
        <w:rPr>
          <w:rFonts w:ascii="David" w:eastAsia="Times New Roman" w:hAnsi="David" w:cs="David"/>
          <w:sz w:val="24"/>
          <w:szCs w:val="24"/>
          <w:rtl/>
        </w:rPr>
        <w:t xml:space="preserve"> של עו"ד </w:t>
      </w:r>
      <w:r w:rsidR="00220B79">
        <w:rPr>
          <w:rFonts w:ascii="David" w:eastAsia="Times New Roman" w:hAnsi="David" w:cs="David" w:hint="cs"/>
          <w:sz w:val="24"/>
          <w:szCs w:val="24"/>
          <w:rtl/>
        </w:rPr>
        <w:t>פ'</w:t>
      </w:r>
      <w:r>
        <w:rPr>
          <w:rFonts w:ascii="David" w:eastAsia="Times New Roman" w:hAnsi="David" w:cs="David"/>
          <w:sz w:val="24"/>
          <w:szCs w:val="24"/>
          <w:rtl/>
        </w:rPr>
        <w:t>, שותפו וחברו הטוב, אשר נחקר בהתאם.</w:t>
      </w:r>
    </w:p>
    <w:p w:rsidR="00A032DB" w:rsidRDefault="00A032DB" w:rsidP="00A032DB">
      <w:pPr>
        <w:pStyle w:val="ad"/>
        <w:spacing w:after="0" w:line="360" w:lineRule="auto"/>
        <w:jc w:val="both"/>
        <w:rPr>
          <w:rFonts w:ascii="David" w:eastAsia="Times New Roman" w:hAnsi="David" w:cs="David"/>
          <w:sz w:val="24"/>
          <w:szCs w:val="24"/>
        </w:rPr>
      </w:pPr>
    </w:p>
    <w:p w:rsidR="00A032DB" w:rsidRDefault="00A032DB" w:rsidP="00A032DB">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בסיום שמיעת עדויות הצדדים הובהר, כי ילדי הצדדים ששלושה מהם היו בגירים נכון לאותו המועד, מודעים לסכסוך דנא, מצאתי, </w:t>
      </w:r>
      <w:r>
        <w:rPr>
          <w:rFonts w:ascii="David" w:eastAsia="Times New Roman" w:hAnsi="David" w:cs="David"/>
          <w:i/>
          <w:iCs/>
          <w:sz w:val="24"/>
          <w:szCs w:val="24"/>
          <w:rtl/>
        </w:rPr>
        <w:t>ולא בלב קל,</w:t>
      </w:r>
      <w:r>
        <w:rPr>
          <w:rFonts w:ascii="David" w:eastAsia="Times New Roman" w:hAnsi="David" w:cs="David"/>
          <w:sz w:val="24"/>
          <w:szCs w:val="24"/>
          <w:rtl/>
        </w:rPr>
        <w:t xml:space="preserve"> להורות על קבלת עמדתם להליך וכן למנות לבת הקטינה אפוט' לדין (ר' החלטות מיום 20.5.19 ומיום 4.6.19).</w:t>
      </w:r>
    </w:p>
    <w:p w:rsidR="00A032DB" w:rsidRDefault="00A032DB" w:rsidP="00A032DB">
      <w:pPr>
        <w:pStyle w:val="ad"/>
        <w:rPr>
          <w:rFonts w:ascii="David" w:eastAsia="Times New Roman" w:hAnsi="David" w:cs="David"/>
          <w:sz w:val="24"/>
          <w:szCs w:val="24"/>
        </w:rPr>
      </w:pPr>
    </w:p>
    <w:p w:rsidR="00A032DB" w:rsidRDefault="00A032DB" w:rsidP="00A032DB">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למען הסדר הטוב, אציין, כי למרבית הפליאה היתה זו הנתבעת שהתנגדה לקבלת עמדות הילדים להליך, </w:t>
      </w:r>
      <w:r>
        <w:rPr>
          <w:rFonts w:ascii="David" w:eastAsia="Times New Roman" w:hAnsi="David" w:cs="David"/>
          <w:i/>
          <w:iCs/>
          <w:sz w:val="24"/>
          <w:szCs w:val="24"/>
          <w:rtl/>
        </w:rPr>
        <w:t xml:space="preserve">הגם שמעדותה שלה עלה דבר מודעותם והגם שבדיון במסגרת הערעור בבית המשפט המחוזי נטען מטעמה, כי התובע עתר לשלילת זכויותיהם החלוטות של הילדים, וכי הגם שהם הנפגעים מההליך הם לא צורפו על ידו, דבר העולה, לטעמה, כדי פגיעה בצדק </w:t>
      </w:r>
      <w:r>
        <w:rPr>
          <w:rFonts w:ascii="David" w:eastAsia="Times New Roman" w:hAnsi="David" w:cs="David"/>
          <w:sz w:val="24"/>
          <w:szCs w:val="24"/>
          <w:rtl/>
        </w:rPr>
        <w:t>(ר' פרוט' הדיון בערעור מיום 25.10.07, עמ' 5 ש' 15-19 ולעומתו פרוט' בהליך דנא מיום 20.5.19, עמ' 72 ש' 20-25).</w:t>
      </w:r>
    </w:p>
    <w:p w:rsidR="00A032DB" w:rsidRDefault="00A032DB" w:rsidP="00A032DB">
      <w:pPr>
        <w:pStyle w:val="ad"/>
        <w:rPr>
          <w:rFonts w:ascii="David" w:eastAsia="Times New Roman" w:hAnsi="David" w:cs="David"/>
          <w:sz w:val="24"/>
          <w:szCs w:val="24"/>
        </w:rPr>
      </w:pPr>
    </w:p>
    <w:p w:rsidR="00A032DB" w:rsidRDefault="00A032DB" w:rsidP="00D70978">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עמדות הילדים הבגירים הוגשו לתיק בית המשפט (ראה עמדת </w:t>
      </w:r>
      <w:r w:rsidR="00FA6CE3">
        <w:rPr>
          <w:rFonts w:ascii="David" w:eastAsia="Times New Roman" w:hAnsi="David" w:cs="David" w:hint="cs"/>
          <w:sz w:val="24"/>
          <w:szCs w:val="24"/>
          <w:rtl/>
        </w:rPr>
        <w:t>הבן א'</w:t>
      </w:r>
      <w:r>
        <w:rPr>
          <w:rFonts w:ascii="David" w:eastAsia="Times New Roman" w:hAnsi="David" w:cs="David"/>
          <w:sz w:val="24"/>
          <w:szCs w:val="24"/>
          <w:rtl/>
        </w:rPr>
        <w:t xml:space="preserve"> מיום 2.12.2019, עמדת </w:t>
      </w:r>
      <w:r w:rsidR="00FA6CE3">
        <w:rPr>
          <w:rFonts w:ascii="David" w:eastAsia="Times New Roman" w:hAnsi="David" w:cs="David" w:hint="cs"/>
          <w:sz w:val="24"/>
          <w:szCs w:val="24"/>
          <w:rtl/>
        </w:rPr>
        <w:t xml:space="preserve">הבת ב' </w:t>
      </w:r>
      <w:r>
        <w:rPr>
          <w:rFonts w:ascii="David" w:eastAsia="Times New Roman" w:hAnsi="David" w:cs="David"/>
          <w:sz w:val="24"/>
          <w:szCs w:val="24"/>
          <w:rtl/>
        </w:rPr>
        <w:t xml:space="preserve">מיום 8.1.2020 ועמדת </w:t>
      </w:r>
      <w:r w:rsidR="00FA6CE3">
        <w:rPr>
          <w:rFonts w:ascii="David" w:eastAsia="Times New Roman" w:hAnsi="David" w:cs="David" w:hint="cs"/>
          <w:sz w:val="24"/>
          <w:szCs w:val="24"/>
          <w:rtl/>
        </w:rPr>
        <w:t>הבן ג'</w:t>
      </w:r>
      <w:r>
        <w:rPr>
          <w:rFonts w:ascii="David" w:eastAsia="Times New Roman" w:hAnsi="David" w:cs="David"/>
          <w:sz w:val="24"/>
          <w:szCs w:val="24"/>
          <w:rtl/>
        </w:rPr>
        <w:t xml:space="preserve"> מיום 19.1.2020); מעמדותיהם עולה, כי הם מכירים בזכויות הוריהם בבית המגורים ואינם חפצים להביע עמדה קונקרטית בסכסוך שפרץ ביניהם, תוך שמירה על יחסים טובים עם שני ההורים. כך אף הוגשה עמדת האפוט' לדין </w:t>
      </w:r>
      <w:r>
        <w:rPr>
          <w:rFonts w:ascii="David" w:eastAsia="Times New Roman" w:hAnsi="David" w:cs="David"/>
          <w:sz w:val="24"/>
          <w:szCs w:val="24"/>
          <w:rtl/>
        </w:rPr>
        <w:lastRenderedPageBreak/>
        <w:t>שמונתה לקטינה, שלאחריה ניתנה לצדדים זכות תגובה, ואף הוגשו סיכומיה בנדון, הכל כפי שיפורט להלן.</w:t>
      </w:r>
    </w:p>
    <w:p w:rsidR="00A032DB" w:rsidRDefault="00A032DB" w:rsidP="00A032DB">
      <w:pPr>
        <w:rPr>
          <w:rFonts w:ascii="David" w:hAnsi="David"/>
        </w:rPr>
      </w:pPr>
    </w:p>
    <w:p w:rsidR="00A032DB" w:rsidRDefault="00A032DB" w:rsidP="00A032DB">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בנסיבות העניין, התקיים דיון נוסף בנוכחות האפוט' לדין, על מנת לנסות ולבחון ההיתכנות להבאת הצדדים לידי הסכמות שייתרו הכרעה; ברם בהעדר הסכמה ניתן בזאת פס"ד זה.</w:t>
      </w:r>
    </w:p>
    <w:p w:rsidR="00A032DB" w:rsidRDefault="00A032DB" w:rsidP="00A032DB">
      <w:pPr>
        <w:pStyle w:val="ad"/>
        <w:rPr>
          <w:rFonts w:ascii="David" w:eastAsia="Times New Roman" w:hAnsi="David" w:cs="David"/>
          <w:sz w:val="24"/>
          <w:szCs w:val="24"/>
        </w:rPr>
      </w:pPr>
    </w:p>
    <w:p w:rsidR="00A032DB" w:rsidRDefault="00A032DB" w:rsidP="00A032DB">
      <w:pPr>
        <w:spacing w:line="360" w:lineRule="auto"/>
        <w:rPr>
          <w:rFonts w:ascii="David" w:hAnsi="David"/>
          <w:rtl/>
        </w:rPr>
      </w:pPr>
      <w:r>
        <w:rPr>
          <w:rFonts w:ascii="David" w:hAnsi="David"/>
          <w:b/>
          <w:bCs/>
          <w:u w:val="single"/>
          <w:rtl/>
        </w:rPr>
        <w:t>טענות הצדדים בעיקרן</w:t>
      </w:r>
      <w:r>
        <w:rPr>
          <w:rFonts w:ascii="David" w:hAnsi="David"/>
          <w:b/>
          <w:bCs/>
          <w:u w:val="single"/>
          <w:rtl/>
        </w:rPr>
        <w:br/>
        <w:t>התובע</w:t>
      </w: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הצדדים חתמו על הסכם גירושין ויחסי ממון שאושר כפס"ד ביום 7.10.07; לאחר כשנתיים ביום 9.7.09 חתמו על ההסכם המתוקן, אשר אושר וקיבל תוקף של פס"ד ביום 14.7.09; עוד חתמו הצדדים על הסכם נוסף, שלישי במספר, כפי שיפורט להלן.</w:t>
      </w:r>
    </w:p>
    <w:p w:rsidR="00A032DB" w:rsidRDefault="00A032DB" w:rsidP="00A032DB">
      <w:pPr>
        <w:pStyle w:val="ad"/>
        <w:spacing w:after="0" w:line="360" w:lineRule="auto"/>
        <w:jc w:val="both"/>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Pr>
      </w:pPr>
      <w:r>
        <w:rPr>
          <w:rFonts w:ascii="David" w:hAnsi="David" w:cs="David"/>
          <w:sz w:val="24"/>
          <w:szCs w:val="24"/>
          <w:rtl/>
        </w:rPr>
        <w:t xml:space="preserve">נסיבות מיוחדות הן שהובילו את הצדדים לחתימה על ההסכם המתוקן שהינו ההסכם למראית עין כטענת התובע; היה זה בשנת 2009 בה עמד התובע בפני נסיון וחשש לסחיטה מצד קולגה במסגרת עבודתו; התובע העוסק בענף השיפוצים והבנייה, המליץ לקולגה על קבלן גגות ורעפים; לאחר שהקולגה התקשר עם הקבלן וזה האחרון החל בעבודתו אצלו, נפל הקבלן מהגג, נפצע אנושות וכתוצאה מכך נפטר. </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הקולגה של התובע טען, כי הקבלן היה עובד מטעמו של התובע זאת בנסיון להסיר מעצמו את האחריות; משכך עקב האירוע הטרגי זומן התובע למשטרה ונחקר על מעורבותו בהעסקת הקבלן. </w:t>
      </w:r>
    </w:p>
    <w:p w:rsidR="00A032DB" w:rsidRDefault="00A032DB" w:rsidP="00A032DB">
      <w:pPr>
        <w:pStyle w:val="ad"/>
        <w:spacing w:after="0" w:line="360" w:lineRule="auto"/>
        <w:jc w:val="both"/>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Pr>
      </w:pPr>
      <w:r>
        <w:rPr>
          <w:rFonts w:ascii="David" w:hAnsi="David" w:cs="David"/>
          <w:sz w:val="24"/>
          <w:szCs w:val="24"/>
          <w:rtl/>
        </w:rPr>
        <w:t>אל נוכח חששו של התובע, כי ינסו לטפול עליו אחריות פלילית בגין התאונה ובהתאם לייעוץ מש</w:t>
      </w:r>
      <w:r w:rsidR="001E78FD">
        <w:rPr>
          <w:rFonts w:ascii="David" w:hAnsi="David" w:cs="David"/>
          <w:sz w:val="24"/>
          <w:szCs w:val="24"/>
          <w:rtl/>
        </w:rPr>
        <w:t xml:space="preserve">פטי שניתן לו ע"י עו"ד </w:t>
      </w:r>
      <w:r w:rsidR="001E78FD">
        <w:rPr>
          <w:rFonts w:ascii="David" w:hAnsi="David" w:cs="David" w:hint="cs"/>
          <w:sz w:val="24"/>
          <w:szCs w:val="24"/>
          <w:rtl/>
        </w:rPr>
        <w:t>ט'</w:t>
      </w:r>
      <w:r>
        <w:rPr>
          <w:rFonts w:ascii="David" w:hAnsi="David" w:cs="David"/>
          <w:sz w:val="24"/>
          <w:szCs w:val="24"/>
          <w:rtl/>
        </w:rPr>
        <w:t xml:space="preserve"> בדבר היותו חשוף לתביעה נזיקית, הוא החליט להעביר את זכויותיו בבית הצדדים לטובת הנתבעת על מנת למנוע אפשרות כי תיפגע שלוות חייהם של הקטינים על-ידי נושים פוטנציאליים.</w:t>
      </w:r>
    </w:p>
    <w:p w:rsidR="00A032DB" w:rsidRDefault="00A032DB" w:rsidP="00A032DB">
      <w:pPr>
        <w:pStyle w:val="ad"/>
        <w:rPr>
          <w:rFonts w:ascii="David" w:hAnsi="David" w:cs="David"/>
          <w:sz w:val="24"/>
          <w:szCs w:val="24"/>
        </w:rPr>
      </w:pPr>
    </w:p>
    <w:p w:rsidR="00A032DB" w:rsidRDefault="00A032DB" w:rsidP="0002441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בשיחה בין התובעת לנתבע הוסכם ביניהם, כי ייערך הסכם מתקן להסכם הגירושין ולצורך כך פנו לעו"ד </w:t>
      </w:r>
      <w:r w:rsidR="00024414">
        <w:rPr>
          <w:rFonts w:ascii="David" w:hAnsi="David" w:cs="David" w:hint="cs"/>
          <w:sz w:val="24"/>
          <w:szCs w:val="24"/>
          <w:rtl/>
        </w:rPr>
        <w:t>ג'</w:t>
      </w:r>
      <w:r>
        <w:rPr>
          <w:rFonts w:ascii="David" w:hAnsi="David" w:cs="David"/>
          <w:sz w:val="24"/>
          <w:szCs w:val="24"/>
          <w:rtl/>
        </w:rPr>
        <w:t>.</w:t>
      </w:r>
    </w:p>
    <w:p w:rsidR="00A032DB" w:rsidRDefault="00A032DB" w:rsidP="00A032DB">
      <w:pPr>
        <w:pStyle w:val="ad"/>
        <w:rPr>
          <w:rFonts w:ascii="David" w:hAnsi="David" w:cs="David"/>
          <w:sz w:val="24"/>
          <w:szCs w:val="24"/>
        </w:rPr>
      </w:pPr>
    </w:p>
    <w:p w:rsidR="00A032DB" w:rsidRDefault="00A032DB" w:rsidP="0002441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הצדדים נפגשו פעם שנייה אצל עו"ד </w:t>
      </w:r>
      <w:r w:rsidR="00024414">
        <w:rPr>
          <w:rFonts w:ascii="David" w:hAnsi="David" w:cs="David" w:hint="cs"/>
          <w:sz w:val="24"/>
          <w:szCs w:val="24"/>
          <w:rtl/>
        </w:rPr>
        <w:t>ג'</w:t>
      </w:r>
      <w:r>
        <w:rPr>
          <w:rFonts w:ascii="David" w:hAnsi="David" w:cs="David"/>
          <w:sz w:val="24"/>
          <w:szCs w:val="24"/>
          <w:rtl/>
        </w:rPr>
        <w:t xml:space="preserve"> והוא ערך עבורם הסכמים שונים וכן את ההסכם המתוקן. </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עיון בסעיף 3 להסכם המתוקן מעלה, כי התובע הסכים לוותר על זכויותיו בבית המגורים לטובת הנתבעת; זאת כאשר להבטחת זכויותיו של התובע, התחייבה הנתבעת בהתחייבות </w:t>
      </w:r>
      <w:r>
        <w:rPr>
          <w:rFonts w:ascii="David" w:hAnsi="David" w:cs="David"/>
          <w:sz w:val="24"/>
          <w:szCs w:val="24"/>
          <w:rtl/>
        </w:rPr>
        <w:lastRenderedPageBreak/>
        <w:t>בלתי חוזרת, כי אם תמכור את הבית אזי תפצה כל ילד מ-4 ילדי הצדדים בסך של 200,000 ₪ לכל ילד (ר' ס' 5).</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במעמד החתימה על ההסכם המתוקן וטרם אישורו בביהמ"ש, נערך </w:t>
      </w:r>
      <w:r>
        <w:rPr>
          <w:rFonts w:ascii="David" w:hAnsi="David" w:cs="David"/>
          <w:b/>
          <w:bCs/>
          <w:i/>
          <w:iCs/>
          <w:sz w:val="24"/>
          <w:szCs w:val="24"/>
          <w:rtl/>
        </w:rPr>
        <w:t>הסכם נוסף (שלישי)</w:t>
      </w:r>
      <w:r>
        <w:rPr>
          <w:rFonts w:ascii="David" w:hAnsi="David" w:cs="David"/>
          <w:sz w:val="24"/>
          <w:szCs w:val="24"/>
          <w:rtl/>
        </w:rPr>
        <w:t xml:space="preserve"> שעליו חתמו הצדדים, </w:t>
      </w:r>
      <w:r>
        <w:rPr>
          <w:rFonts w:ascii="David" w:hAnsi="David" w:cs="David"/>
          <w:b/>
          <w:bCs/>
          <w:i/>
          <w:iCs/>
          <w:sz w:val="24"/>
          <w:szCs w:val="24"/>
          <w:rtl/>
        </w:rPr>
        <w:t>אשר הוסכם עליהם כי זה יישמר בידיהם</w:t>
      </w:r>
      <w:r>
        <w:rPr>
          <w:rFonts w:ascii="David" w:hAnsi="David" w:cs="David"/>
          <w:sz w:val="24"/>
          <w:szCs w:val="24"/>
          <w:rtl/>
        </w:rPr>
        <w:t>; תכליתו של ההסכם השלישי היא הענקת ערבויות ובטחונות לתובע, שלא באמצעות ילדיו, על זכויותיו בבית הצדדים; כך, התחייבה, בין היתר הנתבעת, בהסכם השלישי, לשתף את התובע בהליך מכירת הבית, כי לתובע תהא זכות לרשום הערת אזהרה; כי התובע יהא רשאי ביוזמתו לדרוש את מכירת הבית בהגיע אחרון הילדים לגיל 18 או בסיום הלימודים התיכוניים; עוד התחייבה לשלם מחצית התמורה לתובע; ובנוסף חתמה הנתבעת על שטר חוב לזכותו של התובע ע"ס 750,000 ₪; כן צוין כי הנתבעת מתחייבת לחתום על צוואה בה תוריש לתובע מחצית מביתם (הצוואה צורפה כנספח ו' לתביעה); עוד הוצהר כי האמור בהסכם השלישי גובר על ההסכם המתוקן.</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אשר להליך הפלילי שהחל את התהליך שפורט לעיל; לאחר מספר שנים, בשנת 2014, נסגר התיק כנגד התובע מחוסר ראיות (צורפה הודעה בדבר החלטה שלא להעמיד לדין, נספח ג' לכתב התביעה).</w:t>
      </w:r>
    </w:p>
    <w:p w:rsidR="00A032DB" w:rsidRDefault="00A032DB" w:rsidP="00A032DB">
      <w:pPr>
        <w:pStyle w:val="ad"/>
        <w:rPr>
          <w:rFonts w:ascii="David" w:hAnsi="David" w:cs="David"/>
          <w:sz w:val="24"/>
          <w:szCs w:val="24"/>
        </w:rPr>
      </w:pPr>
    </w:p>
    <w:p w:rsidR="00A032DB" w:rsidRDefault="00A032DB" w:rsidP="0060528A">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ביום 12.11.14 פנה התובע לעו"ד </w:t>
      </w:r>
      <w:r w:rsidR="0060528A">
        <w:rPr>
          <w:rFonts w:ascii="David" w:hAnsi="David" w:cs="David" w:hint="cs"/>
          <w:sz w:val="24"/>
          <w:szCs w:val="24"/>
          <w:rtl/>
        </w:rPr>
        <w:t>ג'</w:t>
      </w:r>
      <w:r>
        <w:rPr>
          <w:rFonts w:ascii="David" w:hAnsi="David" w:cs="David"/>
          <w:sz w:val="24"/>
          <w:szCs w:val="24"/>
          <w:rtl/>
        </w:rPr>
        <w:t xml:space="preserve"> בדרישה להעביר את שטר החוב לידי התובע. בתגובתו, הודיע האחרון לתובע, כי הוא נדרש לקבל את עמדת הנתבעת טרם יעביר השטר לידיו; בהתאם עוה"ד פנה לנתבעת במכתב ביום 8.11.14 ומשלא התקבלה כל התנגדות מצידה מסר ביום 1.12.14 לידי התובע את שטר החוב.</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בהסכם הגירושין התחייבה הנתבעת להשיב לידי התובע את תשלומי המשכנתא שביקשה שיישא בהם על מנת לסייע לה; התחייבות הנתבעת להשיב את חלקה בתשלומי המשכנתא נלמדת מההתחייבויות הגדולות שנטל עליו התובע ובהן תשלום דמי מזונות בסך 5,500 ₪ שהינו על הצד הגבוה בתוספת מחצית הוצאות חינוך וכן התחייב לשאת במחצית עלויות השיפוצים; עוד אפשר התובע לקטינים להתגורר בבית הצדדים ולא לבצע פירוק שיתוף עד הגיע האחרון שמביניהם לגיל 18 או לסיום לימודי התיכון. ומכאן שתחת מכלול ההתחייבויות אין כל הצדקה או מקור לפיו ניתן לחייב את התובע גם במלוא החזרי תשלומי המשכנתא; הנתבעת אף הודתה כי ידוע לה שפרעון המשכנתא חל על הצדדים בחלקים שווים.</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עוד עותר התובע להורות על פירוק השיתוף בבית המגורים במיוחד לאור העובדה, כי שניים מהקטינים עברו להתגורר עמו ומכאן כי אין הצדקה שבדין לאפשר לנתבעת להמשיך ולהתגורר עם שתי הבנות בבית גדול ממדים.</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lastRenderedPageBreak/>
        <w:t xml:space="preserve">המדובר </w:t>
      </w:r>
      <w:r>
        <w:rPr>
          <w:rFonts w:ascii="David" w:hAnsi="David" w:cs="David"/>
          <w:b/>
          <w:bCs/>
          <w:i/>
          <w:iCs/>
          <w:sz w:val="24"/>
          <w:szCs w:val="24"/>
          <w:rtl/>
        </w:rPr>
        <w:t>בחוזה למראית עין</w:t>
      </w:r>
      <w:r>
        <w:rPr>
          <w:rFonts w:ascii="David" w:hAnsi="David" w:cs="David"/>
          <w:sz w:val="24"/>
          <w:szCs w:val="24"/>
          <w:rtl/>
        </w:rPr>
        <w:t xml:space="preserve">; וככזה יש לבטלו בהתאם לסעיף 13 לחוק החוזים, מאחר והוא </w:t>
      </w:r>
      <w:r>
        <w:rPr>
          <w:rFonts w:ascii="David" w:hAnsi="David" w:cs="David"/>
          <w:b/>
          <w:bCs/>
          <w:i/>
          <w:iCs/>
          <w:sz w:val="24"/>
          <w:szCs w:val="24"/>
          <w:rtl/>
        </w:rPr>
        <w:t xml:space="preserve">אינו מבטא את כוונת הצדדים ורצונם האמיתי </w:t>
      </w:r>
      <w:r>
        <w:rPr>
          <w:rFonts w:ascii="David" w:hAnsi="David" w:cs="David"/>
          <w:sz w:val="24"/>
          <w:szCs w:val="24"/>
          <w:rtl/>
        </w:rPr>
        <w:t xml:space="preserve">אזי נטול החוזה תוקף מחייב ביחסים ביניהם והוא בטל. </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b/>
          <w:bCs/>
          <w:i/>
          <w:iCs/>
          <w:sz w:val="24"/>
          <w:szCs w:val="24"/>
          <w:rtl/>
        </w:rPr>
        <w:t xml:space="preserve">בתצהירו </w:t>
      </w:r>
      <w:r>
        <w:rPr>
          <w:rFonts w:ascii="David" w:hAnsi="David" w:cs="David"/>
          <w:sz w:val="24"/>
          <w:szCs w:val="24"/>
          <w:rtl/>
        </w:rPr>
        <w:t xml:space="preserve">הוסיף שחתימת הנתבעת על שטר החוב והצוואה מעידה, כי הצדדים פעלו בהתאם להסכם השלישי, המרוקן מתוכן את הוראותיו של ההסכם השני. כך אף ובמשך השנים המשיכו הצדדים לפעול בהתאם להוראות ההסכם; התובע המשיך לשאת בתשלומי המשכנתא ובתשלומי מזונות עבור שניים מילדי הצדדים. הנתבעת מאידך בחרה להמשיך ולעשוק אותו, כאשר פעלה לפתיחת הליכי גבייה בגין הוצאות חינוך, בשעה שגבתה לכיסה הפרשים שקיבלה על מענקי לימודים. באופן לא ברור החליטה לפתע הנתבעת לטעון, כי הבית ניתן לה במתנה והתכחשה לזכויות התובע בו. </w:t>
      </w:r>
    </w:p>
    <w:p w:rsidR="00A032DB" w:rsidRDefault="00A032DB" w:rsidP="00A032DB">
      <w:pPr>
        <w:spacing w:line="360" w:lineRule="auto"/>
        <w:jc w:val="both"/>
        <w:rPr>
          <w:rFonts w:ascii="David" w:hAnsi="David"/>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b/>
          <w:bCs/>
          <w:i/>
          <w:iCs/>
          <w:sz w:val="24"/>
          <w:szCs w:val="24"/>
          <w:rtl/>
        </w:rPr>
        <w:t>בסיכומיו</w:t>
      </w:r>
      <w:r>
        <w:rPr>
          <w:rFonts w:ascii="David" w:hAnsi="David" w:cs="David"/>
          <w:sz w:val="24"/>
          <w:szCs w:val="24"/>
          <w:rtl/>
        </w:rPr>
        <w:t xml:space="preserve"> טען התובע, כי השאלה בעיקרה נוגעת לשאלה - הניתן לאפשר לצד אחד בלבד להסכם למראית עין אשר במרוצת הזמן הבין, כי נקרתה בפניו ההזדמנות לרמות ולעשוק את הצד השני לצאת בבחינת "חוטא ייצא נשכר".</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הנתבעת שינתה גרסתה מספר פעמים והכל במסגרת חקירתה; תחילה טענה כי לא הבינה על מה חתמה, לאחר מכן טענה, כי הבינה על מה חתמה אך לא סברה כי המדובר בהסכם בר תוקף ובסופו של דבר טענה, כי הסיבה האמיתית לעמידתו של התובע על קיומו של הסכם למראית עין היא, כי נולדו לו ילדים מאשתו השנייה.</w:t>
      </w:r>
    </w:p>
    <w:p w:rsidR="00A032DB" w:rsidRDefault="00A032DB" w:rsidP="00A032DB">
      <w:pPr>
        <w:pStyle w:val="ad"/>
        <w:rPr>
          <w:rFonts w:ascii="David" w:hAnsi="David" w:cs="David"/>
          <w:sz w:val="24"/>
          <w:szCs w:val="24"/>
        </w:rPr>
      </w:pPr>
    </w:p>
    <w:p w:rsidR="00A032DB" w:rsidRDefault="00A032DB" w:rsidP="000653E5">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הוסיף, כי ביום הנפילה של הקבלן שנפטר שורבב שמו של התובע ע"י מעסיק הנוכחי לדו"ח האירוע וזאת על מנת לנסות ולקשור את התובע לארוע ולא לשאת באחריות של מעסיקו של הקבלן שנפטר. התוב</w:t>
      </w:r>
      <w:r w:rsidR="008568DF">
        <w:rPr>
          <w:rFonts w:ascii="David" w:hAnsi="David" w:cs="David"/>
          <w:sz w:val="24"/>
          <w:szCs w:val="24"/>
          <w:rtl/>
        </w:rPr>
        <w:t>ע התייעץ עם מר (עו"ד) פ</w:t>
      </w:r>
      <w:r w:rsidR="008568DF">
        <w:rPr>
          <w:rFonts w:ascii="David" w:hAnsi="David" w:cs="David" w:hint="cs"/>
          <w:sz w:val="24"/>
          <w:szCs w:val="24"/>
          <w:rtl/>
        </w:rPr>
        <w:t>'</w:t>
      </w:r>
      <w:r>
        <w:rPr>
          <w:rFonts w:ascii="David" w:hAnsi="David" w:cs="David"/>
          <w:sz w:val="24"/>
          <w:szCs w:val="24"/>
          <w:rtl/>
        </w:rPr>
        <w:t xml:space="preserve">, שותפו לעסקי השיפוצים ועוה"ד </w:t>
      </w:r>
      <w:r w:rsidR="000653E5">
        <w:rPr>
          <w:rFonts w:ascii="David" w:hAnsi="David" w:cs="David" w:hint="cs"/>
          <w:sz w:val="24"/>
          <w:szCs w:val="24"/>
          <w:rtl/>
        </w:rPr>
        <w:t>ט</w:t>
      </w:r>
      <w:r w:rsidR="009942D8">
        <w:rPr>
          <w:rFonts w:ascii="David" w:hAnsi="David" w:cs="David" w:hint="cs"/>
          <w:sz w:val="24"/>
          <w:szCs w:val="24"/>
          <w:rtl/>
        </w:rPr>
        <w:t>'</w:t>
      </w:r>
      <w:r>
        <w:rPr>
          <w:rFonts w:ascii="David" w:hAnsi="David" w:cs="David"/>
          <w:sz w:val="24"/>
          <w:szCs w:val="24"/>
          <w:rtl/>
        </w:rPr>
        <w:t xml:space="preserve"> טרם חקירתו ע"י המשטרה ועוה"ד </w:t>
      </w:r>
      <w:r w:rsidR="000653E5">
        <w:rPr>
          <w:rFonts w:ascii="David" w:hAnsi="David" w:cs="David" w:hint="cs"/>
          <w:sz w:val="24"/>
          <w:szCs w:val="24"/>
          <w:rtl/>
        </w:rPr>
        <w:t>ט'</w:t>
      </w:r>
      <w:r>
        <w:rPr>
          <w:rFonts w:ascii="David" w:hAnsi="David" w:cs="David"/>
          <w:sz w:val="24"/>
          <w:szCs w:val="24"/>
          <w:rtl/>
        </w:rPr>
        <w:t xml:space="preserve"> הבהיר את עובדת היות התובע חשוף לתביעה נזיקית גדולה של עזבון הקבלן המנוח. על כן הומלץ כי התובע ידאג להעברת רכושו לידי צדדים שלישיים ולאחר שעו"ד </w:t>
      </w:r>
      <w:r w:rsidR="000653E5">
        <w:rPr>
          <w:rFonts w:ascii="David" w:hAnsi="David" w:cs="David" w:hint="cs"/>
          <w:sz w:val="24"/>
          <w:szCs w:val="24"/>
          <w:rtl/>
        </w:rPr>
        <w:t>ט'</w:t>
      </w:r>
      <w:r>
        <w:rPr>
          <w:rFonts w:ascii="David" w:hAnsi="David" w:cs="David"/>
          <w:sz w:val="24"/>
          <w:szCs w:val="24"/>
          <w:rtl/>
        </w:rPr>
        <w:t xml:space="preserve"> הבין כי הנכס היחיד שבבעלות התובע הוא מחצית זכויותיו בבית המגורים של הצדדים וכי הוא מצוי ביחסים תקינים עם הנתבעת, הציע כי עד יעבור זעם </w:t>
      </w:r>
      <w:r>
        <w:rPr>
          <w:rFonts w:ascii="David" w:hAnsi="David" w:cs="David"/>
          <w:sz w:val="24"/>
          <w:szCs w:val="24"/>
          <w:u w:val="single"/>
          <w:rtl/>
        </w:rPr>
        <w:t>ולמראית עין בלבד ולצורך הגנה מנושים/צדדים שלישיים הקשורים בעיזבון הקבלן המנוח, יערכו ביניהם הצדדים הסכם נוסף המבטיח את זכויותיו של התובע בבית.</w:t>
      </w:r>
    </w:p>
    <w:p w:rsidR="00A032DB" w:rsidRDefault="00A032DB" w:rsidP="00A032DB">
      <w:pPr>
        <w:pStyle w:val="ad"/>
        <w:rPr>
          <w:rFonts w:ascii="David" w:hAnsi="David" w:cs="David"/>
          <w:sz w:val="24"/>
          <w:szCs w:val="24"/>
        </w:rPr>
      </w:pPr>
    </w:p>
    <w:p w:rsidR="00A032DB" w:rsidRDefault="00A032DB" w:rsidP="008B578A">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הסיטו</w:t>
      </w:r>
      <w:r w:rsidR="00AC20C4">
        <w:rPr>
          <w:rFonts w:ascii="David" w:hAnsi="David" w:cs="David"/>
          <w:sz w:val="24"/>
          <w:szCs w:val="24"/>
          <w:rtl/>
        </w:rPr>
        <w:t xml:space="preserve">אציה הוסברה לנתבעת ע"י עו"ד </w:t>
      </w:r>
      <w:r w:rsidR="00AC20C4">
        <w:rPr>
          <w:rFonts w:ascii="David" w:hAnsi="David" w:cs="David" w:hint="cs"/>
          <w:sz w:val="24"/>
          <w:szCs w:val="24"/>
          <w:rtl/>
        </w:rPr>
        <w:t>ט'</w:t>
      </w:r>
      <w:r>
        <w:rPr>
          <w:rFonts w:ascii="David" w:hAnsi="David" w:cs="David"/>
          <w:sz w:val="24"/>
          <w:szCs w:val="24"/>
          <w:rtl/>
        </w:rPr>
        <w:t xml:space="preserve"> בפגישה שנער</w:t>
      </w:r>
      <w:r w:rsidR="008B578A">
        <w:rPr>
          <w:rFonts w:ascii="David" w:hAnsi="David" w:cs="David"/>
          <w:sz w:val="24"/>
          <w:szCs w:val="24"/>
          <w:rtl/>
        </w:rPr>
        <w:t>כה בין הצדדים בנוכחות מר פ</w:t>
      </w:r>
      <w:r w:rsidR="008B578A">
        <w:rPr>
          <w:rFonts w:ascii="David" w:hAnsi="David" w:cs="David" w:hint="cs"/>
          <w:sz w:val="24"/>
          <w:szCs w:val="24"/>
          <w:rtl/>
        </w:rPr>
        <w:t>'</w:t>
      </w:r>
      <w:r>
        <w:rPr>
          <w:rFonts w:ascii="David" w:hAnsi="David" w:cs="David"/>
          <w:sz w:val="24"/>
          <w:szCs w:val="24"/>
          <w:rtl/>
        </w:rPr>
        <w:t xml:space="preserve"> והיא נתנה הסכמתה להליך שעל הצדדים לנקוט על מנת שזכויותיהם בנכס לא תיפגענה, לרבות זכות הנתבעת אשר התגוררה בבית הצדדים. כל הנ"ל גובה בתצהיר עדותו של התובע, מסמכים שצורפו המצביעים על מהימנותו, לרבות סעיפים 5-14, וגובו בעותק כתב התביעה </w:t>
      </w:r>
      <w:r>
        <w:rPr>
          <w:rFonts w:ascii="David" w:hAnsi="David" w:cs="David"/>
          <w:sz w:val="24"/>
          <w:szCs w:val="24"/>
          <w:rtl/>
        </w:rPr>
        <w:lastRenderedPageBreak/>
        <w:t xml:space="preserve">של עזבון הקבלן המנוח ודו"ח חקירת מקרה הנפילה עקב דיווחו הכוזב של מר באור (נספח ב' לתצהיר עדותו הראשית של התובע). </w:t>
      </w:r>
    </w:p>
    <w:p w:rsidR="00A032DB" w:rsidRDefault="00A032DB" w:rsidP="00A032DB">
      <w:pPr>
        <w:pStyle w:val="ad"/>
        <w:rPr>
          <w:rFonts w:ascii="David" w:hAnsi="David" w:cs="David"/>
          <w:sz w:val="24"/>
          <w:szCs w:val="24"/>
        </w:rPr>
      </w:pPr>
    </w:p>
    <w:p w:rsidR="00A032DB" w:rsidRDefault="00A032DB" w:rsidP="00D31713">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מר </w:t>
      </w:r>
      <w:r w:rsidR="00181E45">
        <w:rPr>
          <w:rFonts w:ascii="David" w:hAnsi="David" w:cs="David" w:hint="cs"/>
          <w:sz w:val="24"/>
          <w:szCs w:val="24"/>
          <w:rtl/>
        </w:rPr>
        <w:t>פ'</w:t>
      </w:r>
      <w:r>
        <w:rPr>
          <w:rFonts w:ascii="David" w:hAnsi="David" w:cs="David"/>
          <w:sz w:val="24"/>
          <w:szCs w:val="24"/>
          <w:rtl/>
        </w:rPr>
        <w:t xml:space="preserve"> העיד מטעם התובע וכך העיד בחקירתו הנגדית (עמ' 49-50 לפרוט' ועמ' 51 ש' 17-28), כאשר מעדותו עולה כי הנתבעת הסכימה לחתום מתוך חשש שתאלץ לעזוב את בית מגורי הצדדים בו היא נותרה להתגורר עפ"י הסכם הגירושין ובהתאם שיתפה פעולה ביודעין עם התובע. כך גם מחקירת עו"ד </w:t>
      </w:r>
      <w:r w:rsidR="00D31713">
        <w:rPr>
          <w:rFonts w:ascii="David" w:hAnsi="David" w:cs="David" w:hint="cs"/>
          <w:sz w:val="24"/>
          <w:szCs w:val="24"/>
          <w:rtl/>
        </w:rPr>
        <w:t>ג'</w:t>
      </w:r>
      <w:r>
        <w:rPr>
          <w:rFonts w:ascii="David" w:hAnsi="David" w:cs="David"/>
          <w:sz w:val="24"/>
          <w:szCs w:val="24"/>
          <w:rtl/>
        </w:rPr>
        <w:t xml:space="preserve"> עולות נסיבות עריכת ההסכם המתוקן שהינו למראית עין בלבד (ר' עמ' 42 ש' 21 – עמ' 43 ש' 2; ש' 7-8). </w:t>
      </w:r>
    </w:p>
    <w:p w:rsidR="00A032DB" w:rsidRDefault="00A032DB" w:rsidP="00A032DB">
      <w:pPr>
        <w:pStyle w:val="ad"/>
        <w:rPr>
          <w:rFonts w:ascii="David" w:hAnsi="David" w:cs="David"/>
          <w:sz w:val="24"/>
          <w:szCs w:val="24"/>
        </w:rPr>
      </w:pPr>
    </w:p>
    <w:p w:rsidR="00A032DB" w:rsidRDefault="00A032DB" w:rsidP="00CC0ABF">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הצדדים פנו יחד לעו</w:t>
      </w:r>
      <w:r w:rsidR="002F2EDD">
        <w:rPr>
          <w:rFonts w:ascii="David" w:hAnsi="David" w:cs="David"/>
          <w:sz w:val="24"/>
          <w:szCs w:val="24"/>
          <w:rtl/>
        </w:rPr>
        <w:t xml:space="preserve">"ד </w:t>
      </w:r>
      <w:r w:rsidR="00D31713">
        <w:rPr>
          <w:rFonts w:ascii="David" w:hAnsi="David" w:cs="David" w:hint="cs"/>
          <w:sz w:val="24"/>
          <w:szCs w:val="24"/>
          <w:rtl/>
        </w:rPr>
        <w:t>ג'</w:t>
      </w:r>
      <w:r w:rsidR="002F2EDD">
        <w:rPr>
          <w:rFonts w:ascii="David" w:hAnsi="David" w:cs="David"/>
          <w:sz w:val="24"/>
          <w:szCs w:val="24"/>
          <w:rtl/>
        </w:rPr>
        <w:t xml:space="preserve">, לאור החשש שהציג עו"ד </w:t>
      </w:r>
      <w:r w:rsidR="002F2EDD">
        <w:rPr>
          <w:rFonts w:ascii="David" w:hAnsi="David" w:cs="David" w:hint="cs"/>
          <w:sz w:val="24"/>
          <w:szCs w:val="24"/>
          <w:rtl/>
        </w:rPr>
        <w:t>ט'</w:t>
      </w:r>
      <w:r>
        <w:rPr>
          <w:rFonts w:ascii="David" w:hAnsi="David" w:cs="David"/>
          <w:sz w:val="24"/>
          <w:szCs w:val="24"/>
          <w:rtl/>
        </w:rPr>
        <w:t>, לצורך הוצאה לפו</w:t>
      </w:r>
      <w:r w:rsidR="00957B0D">
        <w:rPr>
          <w:rFonts w:ascii="David" w:hAnsi="David" w:cs="David"/>
          <w:sz w:val="24"/>
          <w:szCs w:val="24"/>
          <w:rtl/>
        </w:rPr>
        <w:t xml:space="preserve">על של עצתו המקצועית של עו"ד </w:t>
      </w:r>
      <w:r w:rsidR="00957B0D">
        <w:rPr>
          <w:rFonts w:ascii="David" w:hAnsi="David" w:cs="David" w:hint="cs"/>
          <w:sz w:val="24"/>
          <w:szCs w:val="24"/>
          <w:rtl/>
        </w:rPr>
        <w:t>ט'</w:t>
      </w:r>
      <w:r>
        <w:rPr>
          <w:rFonts w:ascii="David" w:hAnsi="David" w:cs="David"/>
          <w:sz w:val="24"/>
          <w:szCs w:val="24"/>
          <w:rtl/>
        </w:rPr>
        <w:t xml:space="preserve">. בין הצדדים לעוה"ד נערכו 3 פגישות, אשר בפגישתם השנייה אצל עו"ד </w:t>
      </w:r>
      <w:r w:rsidR="00CC0ABF">
        <w:rPr>
          <w:rFonts w:ascii="David" w:hAnsi="David" w:cs="David" w:hint="cs"/>
          <w:sz w:val="24"/>
          <w:szCs w:val="24"/>
          <w:rtl/>
        </w:rPr>
        <w:t>ג'</w:t>
      </w:r>
      <w:r>
        <w:rPr>
          <w:rFonts w:ascii="David" w:hAnsi="David" w:cs="David"/>
          <w:sz w:val="24"/>
          <w:szCs w:val="24"/>
          <w:rtl/>
        </w:rPr>
        <w:t xml:space="preserve"> ביום 9.7.09 הוצגו 2 הסכמים שנערכו ע"י עו"ד </w:t>
      </w:r>
      <w:r w:rsidR="00D31713">
        <w:rPr>
          <w:rFonts w:ascii="David" w:hAnsi="David" w:cs="David" w:hint="cs"/>
          <w:sz w:val="24"/>
          <w:szCs w:val="24"/>
          <w:rtl/>
        </w:rPr>
        <w:t>ג'</w:t>
      </w:r>
      <w:r>
        <w:rPr>
          <w:rFonts w:ascii="David" w:hAnsi="David" w:cs="David"/>
          <w:sz w:val="24"/>
          <w:szCs w:val="24"/>
          <w:rtl/>
        </w:rPr>
        <w:t xml:space="preserve"> שיש בהם כדי לתת מענה לסיטואציה אליה נקלעו הצדדים והם חתמו עליהם יחד בנוכחות עו"ד </w:t>
      </w:r>
      <w:r w:rsidR="00D31713">
        <w:rPr>
          <w:rFonts w:ascii="David" w:hAnsi="David" w:cs="David" w:hint="cs"/>
          <w:sz w:val="24"/>
          <w:szCs w:val="24"/>
          <w:rtl/>
        </w:rPr>
        <w:t>ג'</w:t>
      </w:r>
      <w:r>
        <w:rPr>
          <w:rFonts w:ascii="David" w:hAnsi="David" w:cs="David"/>
          <w:sz w:val="24"/>
          <w:szCs w:val="24"/>
          <w:rtl/>
        </w:rPr>
        <w:t>.</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ההסכם הראשון הוא ההסכם המתוקן – ההסכם למראית עין והוא הוגש לאישור ביהמ"ש ובו הועברו זכויות התובעת לנתבעת בהתאם לסעיף 3 בעוד יתר סעיפי הסכם הגירושין מיום 7.10.07 (הוא הסכם הגירושין) ייוותרו בתוקף כאמור בסעיף 7. </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לאור דרישת הנתבעת נמחק האמור בסעיף 4 להסכם בו היא התחייבה להמשיך ולשאת במלוא תשלומי המשכנתא, כך שלמעשה התובע ימשיך ויישא במלוא תשלומי המשכנתא בהתאם לקבוע בסעיף 20 להסכם הגירושין מיום 7.10.07 ושני הצדדים חתמו בצד מחיקת הסעיף.</w:t>
      </w:r>
    </w:p>
    <w:p w:rsidR="00A032DB" w:rsidRDefault="00A032DB" w:rsidP="00A032DB">
      <w:pPr>
        <w:pStyle w:val="ad"/>
        <w:rPr>
          <w:rFonts w:ascii="David" w:hAnsi="David" w:cs="David"/>
          <w:sz w:val="24"/>
          <w:szCs w:val="24"/>
        </w:rPr>
      </w:pPr>
    </w:p>
    <w:p w:rsidR="00A032DB" w:rsidRDefault="00A032DB" w:rsidP="00D31713">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ההסכם השלישי שהינו חוזה בין הצדדים נחתם אף הוא ביום 9.7.09 ע"י הצדדים שניהם בנוכחות עו"ד </w:t>
      </w:r>
      <w:r w:rsidR="00D31713">
        <w:rPr>
          <w:rFonts w:ascii="David" w:hAnsi="David" w:cs="David" w:hint="cs"/>
          <w:sz w:val="24"/>
          <w:szCs w:val="24"/>
          <w:rtl/>
        </w:rPr>
        <w:t>ג'</w:t>
      </w:r>
      <w:r>
        <w:rPr>
          <w:rFonts w:ascii="David" w:hAnsi="David" w:cs="David"/>
          <w:sz w:val="24"/>
          <w:szCs w:val="24"/>
          <w:rtl/>
        </w:rPr>
        <w:t xml:space="preserve">, והוא נועד להבטיח את זכויות התובע בבית למול הנתבעת, בשים לב כי הסכם זה </w:t>
      </w:r>
      <w:r>
        <w:rPr>
          <w:rFonts w:ascii="David" w:hAnsi="David" w:cs="David"/>
          <w:sz w:val="24"/>
          <w:szCs w:val="24"/>
          <w:u w:val="single"/>
          <w:rtl/>
        </w:rPr>
        <w:t>לא נועד לאישור בביהמ"ש</w:t>
      </w:r>
      <w:r>
        <w:rPr>
          <w:rFonts w:ascii="David" w:hAnsi="David" w:cs="David"/>
          <w:sz w:val="24"/>
          <w:szCs w:val="24"/>
          <w:rtl/>
        </w:rPr>
        <w:t xml:space="preserve"> (צורף כנספח ד' לתצהיר עדותו הראשית של התובע). </w:t>
      </w:r>
    </w:p>
    <w:p w:rsidR="00A032DB" w:rsidRDefault="00A032DB" w:rsidP="00A032DB">
      <w:pPr>
        <w:pStyle w:val="ad"/>
        <w:rPr>
          <w:rFonts w:ascii="David" w:hAnsi="David" w:cs="David"/>
          <w:sz w:val="24"/>
          <w:szCs w:val="24"/>
        </w:rPr>
      </w:pPr>
    </w:p>
    <w:p w:rsidR="00A032DB" w:rsidRDefault="00A032DB" w:rsidP="00A032DB">
      <w:pPr>
        <w:pStyle w:val="ad"/>
        <w:rPr>
          <w:rFonts w:ascii="David" w:hAnsi="David" w:cs="David"/>
          <w:sz w:val="24"/>
          <w:szCs w:val="24"/>
          <w:rtl/>
        </w:rPr>
      </w:pPr>
    </w:p>
    <w:p w:rsidR="00A032DB" w:rsidRDefault="00A032DB" w:rsidP="009A388A">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עו"ד </w:t>
      </w:r>
      <w:r w:rsidR="00D31713">
        <w:rPr>
          <w:rFonts w:ascii="David" w:hAnsi="David" w:cs="David" w:hint="cs"/>
          <w:sz w:val="24"/>
          <w:szCs w:val="24"/>
          <w:rtl/>
        </w:rPr>
        <w:t>ג'</w:t>
      </w:r>
      <w:r>
        <w:rPr>
          <w:rFonts w:ascii="David" w:hAnsi="David" w:cs="David"/>
          <w:sz w:val="24"/>
          <w:szCs w:val="24"/>
          <w:rtl/>
        </w:rPr>
        <w:t xml:space="preserve"> בחקירתו תמך באופן מוחלט בטענות התובע ואף הציג תרשומת שערך מפגישתם הראשונה של הצדדים במשרדו, שבה ציין פרטים המתיישבים עם גרסתו של התובע. עו"ד </w:t>
      </w:r>
      <w:r w:rsidR="009A388A">
        <w:rPr>
          <w:rFonts w:ascii="David" w:hAnsi="David" w:cs="David" w:hint="cs"/>
          <w:sz w:val="24"/>
          <w:szCs w:val="24"/>
          <w:rtl/>
        </w:rPr>
        <w:t xml:space="preserve">ג' </w:t>
      </w:r>
      <w:r>
        <w:rPr>
          <w:rFonts w:ascii="David" w:hAnsi="David" w:cs="David"/>
          <w:sz w:val="24"/>
          <w:szCs w:val="24"/>
          <w:rtl/>
        </w:rPr>
        <w:t xml:space="preserve">העיד מפורשות כי ההסכם השלישי הוא שמגלה את אומד דעתם האמיתי של הצדדים. </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הנתבעת אישרה בחקירתה כי הסיבה האמיתית להתנגדותה לאשרור ההסכם השלישי, הינה מחשש כי זכויותיו של התובע בנכס יועברו לרעייתו הנוכחית ולארבעת ילדיהם המשותפים, תוך פגיעה בילדי הצדדים. יש לדחות את ניסיונה הנלוז של הנתבעת, לזכות בזכויותיו של התובע בנכס, שלא שייכות לה. </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lastRenderedPageBreak/>
        <w:t>אף המצב הרישומי של הנכס שנותר כפי שהוא, קרי בבעלות שווה של הצדדים, מעיד כאלף עדים, כי ההסכם נעשה למראית עין, אחרת לא ניתן להבין מדוע לא פעלה הנתבעת משך השנים לשנות את מצב הזכויות בנכס וכך גם באשר להמשך שימושו של התובע במחסן שבנכס, הנוהג בו מנהג בעלים.</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אין ספק כי על פי סעיף 13 לחוק החוזים יש להורות על ביטול ההסכם שנערך למראית עין וכי תוצאתו תוביל למכירת הנכס וחלוקת התמורה בין הצדדים, כפי שנקבע הן בהסכם הראשון והן בהסכם השלישי.  </w:t>
      </w:r>
    </w:p>
    <w:p w:rsidR="00A032DB" w:rsidRDefault="00A032DB" w:rsidP="00A032DB">
      <w:pPr>
        <w:pStyle w:val="ad"/>
        <w:rPr>
          <w:rFonts w:ascii="David" w:hAnsi="David" w:cs="David"/>
          <w:sz w:val="24"/>
          <w:szCs w:val="24"/>
          <w:highlight w:val="cyan"/>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הואיל וזו התוצאה המתחייבת ובהעדר מעמד של הילדים ביחס להסכמים שנערכו בין הצדדים, אין מקום לדון בעמדות הילדים אשר הוגשו לתיק בית המשפט. לצד זאת, עיון בעמדות שהוגשו מטעמם מעלה, כי הם מכירים בזכותו של התובע למחצית מהזכויות בנכס ומבקשים שלא לערבם בהליך השיפוטי. עמדת האפוט' לדין שהוגשה ביחס לקטינה אינה משקפת את רצונה האמיתי, כי אם את רצון הנתבעת והסבתא שמפעילות עליה לחץ פסול. </w:t>
      </w:r>
    </w:p>
    <w:p w:rsidR="00A032DB" w:rsidRDefault="00A032DB" w:rsidP="00A032DB">
      <w:pPr>
        <w:pStyle w:val="ad"/>
        <w:rPr>
          <w:rFonts w:ascii="David" w:hAnsi="David" w:cs="David"/>
          <w:sz w:val="24"/>
          <w:szCs w:val="24"/>
        </w:rPr>
      </w:pPr>
    </w:p>
    <w:p w:rsidR="00A032DB" w:rsidRDefault="00A032DB" w:rsidP="00A032DB">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 xml:space="preserve">יש להורות על ביטול ההסכם השני, שנעשה למראית עין ותוך הענקת זכויות לנתבעת שאינן שייכות לה, כעשיית עושר שלא במשפט ובחוסר תו"ל הזועק לשמיים. עם ביטולו, ולאור התוצאה הזהה אשר תחול עם קיומו של ההסכם הראשון והשלישי, יימכר הנכס ותמורתו תחולק בין הצדדים ובמיוחד לאור נשיאתו של התובע בתשלומי המשכנתא משך השנים. יש להורות אף על חיובה של הנתבעת בתשלום הוצאות כבדות לאור גרירתה את התובע להליכים ארוכים ומייגעים משך השנים. </w:t>
      </w:r>
    </w:p>
    <w:p w:rsidR="00A032DB" w:rsidRDefault="00A032DB" w:rsidP="00A032DB">
      <w:pPr>
        <w:pStyle w:val="ad"/>
        <w:rPr>
          <w:rFonts w:ascii="David" w:hAnsi="David" w:cs="David"/>
          <w:sz w:val="24"/>
          <w:szCs w:val="24"/>
        </w:rPr>
      </w:pPr>
    </w:p>
    <w:p w:rsidR="00A032DB" w:rsidRDefault="00A032DB" w:rsidP="00A032DB">
      <w:pPr>
        <w:spacing w:line="360" w:lineRule="auto"/>
        <w:jc w:val="both"/>
        <w:rPr>
          <w:rFonts w:ascii="David" w:hAnsi="David"/>
          <w:b/>
          <w:bCs/>
          <w:u w:val="single"/>
          <w:rtl/>
        </w:rPr>
      </w:pPr>
      <w:r>
        <w:rPr>
          <w:rFonts w:ascii="David" w:hAnsi="David"/>
          <w:b/>
          <w:bCs/>
          <w:u w:val="single"/>
          <w:rtl/>
        </w:rPr>
        <w:t>הנתבעת</w:t>
      </w:r>
    </w:p>
    <w:p w:rsidR="00A032DB" w:rsidRDefault="00A032DB" w:rsidP="00A032DB">
      <w:pPr>
        <w:pStyle w:val="ad"/>
        <w:numPr>
          <w:ilvl w:val="0"/>
          <w:numId w:val="3"/>
        </w:numPr>
        <w:spacing w:after="0" w:line="360" w:lineRule="auto"/>
        <w:jc w:val="both"/>
        <w:rPr>
          <w:rFonts w:ascii="David" w:hAnsi="David" w:cs="David"/>
          <w:sz w:val="24"/>
          <w:szCs w:val="24"/>
        </w:rPr>
      </w:pPr>
      <w:r>
        <w:rPr>
          <w:rFonts w:ascii="David" w:hAnsi="David" w:cs="David"/>
          <w:sz w:val="24"/>
          <w:szCs w:val="24"/>
          <w:rtl/>
        </w:rPr>
        <w:t>הצדדים הם זוג גרוש שחתם על הסכם גירושין אשר קיבל תוקף של פסק דין בביהמ"ש ביום 7.10.07; הצדדים הוסיפו וחתמו על הסכם ממון מתוקן אשר אושר ע"י ביהמ"ש ביום 14.7.09;הצדדים, לרבות התובע, הצהירו בפני המותב שאישר את ההסכם (כב' השופטת מ' קראוס), כי לאחר שבית המשפט הקריא את עיקרי ההסכם הם מאשרים שחתמו עליו מרצון חופשי ותוך הבנת ההסכם משמעותו ותוצאותיו.</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חרף זאת עותר התובע לבטל את ההסכם המתוקן שקיבל תוקף של פס"ד בטענה תמוהה מאוד בדבר היותו חוזה למראית עין הבטל מעיקרו.</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הדבר אינו מתיישב עם העובדה שההסכם הוצג לפני בית המשפט כשידוע מראש כי המדובר בהסכם למראית עין; זהו שימוש בבית המשפט כחותמת גומי לשקרים; יש לדחות הטענה  בשאט נפש.</w:t>
      </w:r>
    </w:p>
    <w:p w:rsidR="00A032DB" w:rsidRDefault="00A032DB" w:rsidP="00A032DB">
      <w:pPr>
        <w:spacing w:line="360" w:lineRule="auto"/>
        <w:jc w:val="both"/>
        <w:rPr>
          <w:rFonts w:ascii="David" w:hAnsi="David"/>
        </w:rPr>
      </w:pPr>
    </w:p>
    <w:p w:rsidR="00A032DB" w:rsidRDefault="00A032DB" w:rsidP="00A032DB">
      <w:pPr>
        <w:pStyle w:val="ad"/>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המדובר בפס"ד חלוט שלא ניתן לערער עליו; ההליך הוגש בחוסר תום לב וכשהוא נושא כותרת "ביטול הסכם" זאת כאשר מדובר על ערעור על פסה"ד לכל דבר שהוגש לערכאה לא נכונה ובחלוף המועד, הכל תוך שמדובר בבקשה לבטל פס"ד שניתן לבקשת התובע.</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לפיכך, יש לדחות התביעה תוך חיוב התובע בהוצאות עונשיות ולדוגמא שישקפו את מורת רוחו של ביהמ"ש; ליתן פס"ד הצהרתי הקובע, כי פסה"ד מיום 14.7.09 חלוט ולא ניתן לביטול וכי כל הסכם אחר הסותר את פסה"ד מיום 14.7.09 (ההסכם המתוקן) בטל; ליתן צו עשה לתובע המורה לו להשיב לנתבעת את שטר החוב שבידיו שהוצא ממנה במרמה.</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b/>
          <w:bCs/>
          <w:i/>
          <w:iCs/>
          <w:sz w:val="24"/>
          <w:szCs w:val="24"/>
          <w:rtl/>
        </w:rPr>
      </w:pPr>
      <w:r>
        <w:rPr>
          <w:rFonts w:ascii="David" w:hAnsi="David" w:cs="David"/>
          <w:b/>
          <w:bCs/>
          <w:i/>
          <w:iCs/>
          <w:sz w:val="24"/>
          <w:szCs w:val="24"/>
          <w:rtl/>
        </w:rPr>
        <w:t xml:space="preserve">בתצהירה </w:t>
      </w:r>
      <w:r>
        <w:rPr>
          <w:rFonts w:ascii="David" w:hAnsi="David" w:cs="David"/>
          <w:sz w:val="24"/>
          <w:szCs w:val="24"/>
          <w:rtl/>
        </w:rPr>
        <w:t>הוסיפה וטענה, כי התובע עצמו אינו חולק על ההסכם הנוסף אלא מבקש לקיים את ההסכם השלישי ודי בעדותו (פרוט' 9.7.15, עמ' 26 ש' 14-15) כדי להבין את מופרכות ההליך ולהצדיק סילוקו על הסף.</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b/>
          <w:bCs/>
          <w:i/>
          <w:iCs/>
          <w:sz w:val="24"/>
          <w:szCs w:val="24"/>
          <w:rtl/>
        </w:rPr>
      </w:pPr>
      <w:r>
        <w:rPr>
          <w:rFonts w:ascii="David" w:hAnsi="David" w:cs="David"/>
          <w:sz w:val="24"/>
          <w:szCs w:val="24"/>
          <w:rtl/>
        </w:rPr>
        <w:t>ניתן פס"ד ע"י כב' השופטת קראוס בהתאם לתקנה 191 לתקס"דא 1984, לאחר שבית המשפט הגיע למסקנה שאין בהמשך ההליך כדי לשנות את הממצאים לגבי העובדות המהותיות (ס' 45 לפסה"ד).</w:t>
      </w:r>
    </w:p>
    <w:p w:rsidR="00A032DB" w:rsidRDefault="00A032DB" w:rsidP="00A032DB">
      <w:pPr>
        <w:pStyle w:val="ad"/>
        <w:rPr>
          <w:rFonts w:ascii="David" w:hAnsi="David" w:cs="David"/>
          <w:b/>
          <w:bCs/>
          <w:i/>
          <w:iCs/>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התובע והנתבעת התגרשו, לאחר שזה נתפס במיטה עם "הבייביסיטר" הצעירה של הילדים והצדדים התגרשו וחתמו בשנת 2007 על הסכם גירושין שאושר וקיבל תוקף של פס"ד באותו השנה. </w:t>
      </w:r>
    </w:p>
    <w:p w:rsidR="00A032DB" w:rsidRDefault="00A032DB" w:rsidP="00A032DB">
      <w:pPr>
        <w:pStyle w:val="ad"/>
        <w:rPr>
          <w:rFonts w:ascii="David" w:hAnsi="David" w:cs="David"/>
          <w:sz w:val="24"/>
          <w:szCs w:val="24"/>
        </w:rPr>
      </w:pPr>
    </w:p>
    <w:p w:rsidR="00A032DB" w:rsidRDefault="00A032DB" w:rsidP="00F40670">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כשנתיים לאחר מכן, ביולי 2009, פנה התובע לנתבעת ודרש ממנה בתוקף להגיע לעו"ד </w:t>
      </w:r>
      <w:r w:rsidR="00F40670">
        <w:rPr>
          <w:rFonts w:ascii="David" w:hAnsi="David" w:cs="David" w:hint="cs"/>
          <w:sz w:val="24"/>
          <w:szCs w:val="24"/>
          <w:rtl/>
        </w:rPr>
        <w:t>ג'</w:t>
      </w:r>
      <w:r>
        <w:rPr>
          <w:rFonts w:ascii="David" w:hAnsi="David" w:cs="David"/>
          <w:sz w:val="24"/>
          <w:szCs w:val="24"/>
          <w:rtl/>
        </w:rPr>
        <w:t xml:space="preserve"> אחרת היא תפסיד את הבית, כלשונו.</w:t>
      </w:r>
    </w:p>
    <w:p w:rsidR="00A032DB" w:rsidRDefault="00A032DB" w:rsidP="00A032DB">
      <w:pPr>
        <w:pStyle w:val="ad"/>
        <w:rPr>
          <w:rFonts w:ascii="David" w:hAnsi="David" w:cs="David"/>
          <w:sz w:val="24"/>
          <w:szCs w:val="24"/>
        </w:rPr>
      </w:pPr>
    </w:p>
    <w:p w:rsidR="00A032DB" w:rsidRDefault="00A032DB" w:rsidP="00F40670">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הנתבעת שפחדה מכך הגיעה לעו"ד </w:t>
      </w:r>
      <w:r w:rsidR="00F40670">
        <w:rPr>
          <w:rFonts w:ascii="David" w:hAnsi="David" w:cs="David" w:hint="cs"/>
          <w:sz w:val="24"/>
          <w:szCs w:val="24"/>
          <w:rtl/>
        </w:rPr>
        <w:t>ג'</w:t>
      </w:r>
      <w:r>
        <w:rPr>
          <w:rFonts w:ascii="David" w:hAnsi="David" w:cs="David"/>
          <w:sz w:val="24"/>
          <w:szCs w:val="24"/>
          <w:rtl/>
        </w:rPr>
        <w:t xml:space="preserve"> וחתמה על המסמכים שהוא הכין מראש, תוך שהיא סמכה עליו שינהג ביושר ולא ירמה אותה. בעדותו בבית המשפט (לפני המותב הקודם) התובע הודה שהנתבעת חתמה תחת איום (מפנה לעמ' 26 ש' 2 ולנספח ג' בתצהיר). </w:t>
      </w:r>
    </w:p>
    <w:p w:rsidR="00A032DB" w:rsidRDefault="00A032DB" w:rsidP="00A032DB">
      <w:pPr>
        <w:pStyle w:val="ad"/>
        <w:rPr>
          <w:rFonts w:ascii="David" w:hAnsi="David" w:cs="David"/>
          <w:sz w:val="24"/>
          <w:szCs w:val="24"/>
        </w:rPr>
      </w:pPr>
    </w:p>
    <w:p w:rsidR="00A032DB" w:rsidRDefault="00A032DB" w:rsidP="00F40670">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אין לה כל אמון בתובע והוא רמאי; ובניגוד לתצהירו של עו"ד </w:t>
      </w:r>
      <w:r w:rsidR="00F40670">
        <w:rPr>
          <w:rFonts w:ascii="David" w:hAnsi="David" w:cs="David" w:hint="cs"/>
          <w:sz w:val="24"/>
          <w:szCs w:val="24"/>
          <w:rtl/>
        </w:rPr>
        <w:t>ג'</w:t>
      </w:r>
      <w:r>
        <w:rPr>
          <w:rFonts w:ascii="David" w:hAnsi="David" w:cs="David"/>
          <w:sz w:val="24"/>
          <w:szCs w:val="24"/>
          <w:rtl/>
        </w:rPr>
        <w:t>, הנתבעת מעולם לא היתה בקשר טוב עם התובע והיא לא סומכת עליו במאומה, שהרי התגרשה ממנו בכעס גדול לאחר שנתפס בוגד בה כאמור.</w:t>
      </w:r>
    </w:p>
    <w:p w:rsidR="00A032DB" w:rsidRDefault="00A032DB" w:rsidP="00A032DB">
      <w:pPr>
        <w:pStyle w:val="ad"/>
        <w:rPr>
          <w:rFonts w:ascii="David" w:hAnsi="David" w:cs="David"/>
          <w:sz w:val="24"/>
          <w:szCs w:val="24"/>
        </w:rPr>
      </w:pPr>
    </w:p>
    <w:p w:rsidR="00A032DB" w:rsidRDefault="00A032DB" w:rsidP="00F40670">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הנתבעת הביע בפני עו"ד </w:t>
      </w:r>
      <w:r w:rsidR="00F40670">
        <w:rPr>
          <w:rFonts w:ascii="David" w:hAnsi="David" w:cs="David" w:hint="cs"/>
          <w:sz w:val="24"/>
          <w:szCs w:val="24"/>
          <w:rtl/>
        </w:rPr>
        <w:t>ג'</w:t>
      </w:r>
      <w:r>
        <w:rPr>
          <w:rFonts w:ascii="David" w:hAnsi="David" w:cs="David"/>
          <w:sz w:val="24"/>
          <w:szCs w:val="24"/>
          <w:rtl/>
        </w:rPr>
        <w:t xml:space="preserve"> את חששה שאולי הוא והתובע משתפים פעולה ומרמים אותה. עו"ד </w:t>
      </w:r>
      <w:r w:rsidR="00F40670">
        <w:rPr>
          <w:rFonts w:ascii="David" w:hAnsi="David" w:cs="David" w:hint="cs"/>
          <w:sz w:val="24"/>
          <w:szCs w:val="24"/>
          <w:rtl/>
        </w:rPr>
        <w:t>ג'</w:t>
      </w:r>
      <w:r>
        <w:rPr>
          <w:rFonts w:ascii="David" w:hAnsi="David" w:cs="David"/>
          <w:sz w:val="24"/>
          <w:szCs w:val="24"/>
          <w:rtl/>
        </w:rPr>
        <w:t xml:space="preserve"> הרגיע אותה ואמר שאין למסמכים שהיא תחתום עליה שום תוקף ללא אישור בית המשפט שיבדוק את הדברים ויבקש את אישורי לפני מתן תוקף. ולנוכח דברים אלה, חתמה הנתבעת על המסמכים שהציג לה עו"ד </w:t>
      </w:r>
      <w:r w:rsidR="00F40670">
        <w:rPr>
          <w:rFonts w:ascii="David" w:hAnsi="David" w:cs="David" w:hint="cs"/>
          <w:sz w:val="24"/>
          <w:szCs w:val="24"/>
          <w:rtl/>
        </w:rPr>
        <w:t>ג'</w:t>
      </w:r>
      <w:r>
        <w:rPr>
          <w:rFonts w:ascii="David" w:hAnsi="David" w:cs="David"/>
          <w:sz w:val="24"/>
          <w:szCs w:val="24"/>
          <w:rtl/>
        </w:rPr>
        <w:t xml:space="preserve"> מבלי שקראה אותה בעיון ומבלי שהתייעצה עם עו"ד מטעמה.</w:t>
      </w:r>
      <w:r>
        <w:rPr>
          <w:rFonts w:ascii="David" w:hAnsi="David" w:cs="Guttman Yad-Brush" w:hint="cs"/>
          <w:sz w:val="24"/>
          <w:szCs w:val="24"/>
          <w:rtl/>
        </w:rPr>
        <w:t xml:space="preserve"> </w:t>
      </w:r>
    </w:p>
    <w:p w:rsidR="00A032DB" w:rsidRDefault="00A032DB" w:rsidP="00A032DB">
      <w:pPr>
        <w:pStyle w:val="ad"/>
        <w:rPr>
          <w:rFonts w:ascii="David" w:hAnsi="David" w:cs="David"/>
          <w:sz w:val="24"/>
          <w:szCs w:val="24"/>
        </w:rPr>
      </w:pPr>
    </w:p>
    <w:p w:rsidR="00A032DB" w:rsidRDefault="00A032DB" w:rsidP="00A93742">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בדיעבד התברר שעו"ד </w:t>
      </w:r>
      <w:r w:rsidR="00A93742">
        <w:rPr>
          <w:rFonts w:ascii="David" w:hAnsi="David" w:cs="David" w:hint="cs"/>
          <w:sz w:val="24"/>
          <w:szCs w:val="24"/>
          <w:rtl/>
        </w:rPr>
        <w:t>ג'</w:t>
      </w:r>
      <w:r>
        <w:rPr>
          <w:rFonts w:ascii="David" w:hAnsi="David" w:cs="David"/>
          <w:sz w:val="24"/>
          <w:szCs w:val="24"/>
          <w:rtl/>
        </w:rPr>
        <w:t xml:space="preserve"> והתובע שיתפו פעולה וניסו לרמות אותה והחתימו אותה על מסמכים מנוגדים, לרבות שטר חוב וצוואה. </w:t>
      </w:r>
    </w:p>
    <w:p w:rsidR="00A032DB" w:rsidRDefault="00A032DB" w:rsidP="00A032DB">
      <w:pPr>
        <w:pStyle w:val="ad"/>
        <w:rPr>
          <w:rFonts w:ascii="David" w:hAnsi="David" w:cs="David"/>
          <w:sz w:val="24"/>
          <w:szCs w:val="24"/>
        </w:rPr>
      </w:pPr>
    </w:p>
    <w:p w:rsidR="00A032DB" w:rsidRDefault="00A032DB" w:rsidP="00A93742">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כל המסמכים שעליהם חתמה הנתבעת נחתמה בגלל דברי עו"ד </w:t>
      </w:r>
      <w:r w:rsidR="00A93742">
        <w:rPr>
          <w:rFonts w:ascii="David" w:hAnsi="David" w:cs="David" w:hint="cs"/>
          <w:sz w:val="24"/>
          <w:szCs w:val="24"/>
          <w:rtl/>
        </w:rPr>
        <w:t>ג'</w:t>
      </w:r>
      <w:r>
        <w:rPr>
          <w:rFonts w:ascii="David" w:hAnsi="David" w:cs="David"/>
          <w:sz w:val="24"/>
          <w:szCs w:val="24"/>
          <w:rtl/>
        </w:rPr>
        <w:t xml:space="preserve"> והתובע שהבהירו לה שאם לא תחתום על המסמכים היא תפסיד את הבית שלה ולכן בשל האיום היא חתמה על המסמכים.  </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ביום 14.7.09 הגיעה עם התובע לבית המשפט על מנת לאשר הסכם ולאחר שההסכם הוקרא לה היא נרגעה והודיעה לבית המשפט שהיא מסכימה לאשר אותו. ככל והיה התובע מנסה לתת תוקף להסכם הלא נכון – היא לא היתה נותנת הסכמתה לכך.</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התובע הסתיר מבית המשפט, כי עפ"י ההסכם הנוסף קיבלו ילדיהם המשותפים סך של 800,000 ₪ בהתחייבות בלתי חוזרת. הילדים לא היו צד לתביעה למרות שהוא ניסה בתביעה זו לשלול את זכויותיהם החלוטות של הילדים, תוך נסיון חסר תום לב לשלול את זכויות הילדים המשותפים ולחלק את זכויותיהם עם ילדיו הנוספים מהאשה החדשה שנשא. </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בעדות התובע לפני המותב הקודם, הצהיר ב"כ דאז, כי יש לו בעיות זכרון וזאת מאחר והתובע הסתבך בשקריו (עמ' 24 לפרוט', ש' 5-29) ולכן אין מקום להסתמך על דברי התובע. התובע הטעה את בית המשפט המחוזי וטען שלא התקיים הליך הוכחות בתיק למרות ששלושת התביעות התבררו במשותף וביום 9.7.15 התקיים הליך הוכחות בכל ההליכים.</w:t>
      </w:r>
    </w:p>
    <w:p w:rsidR="00A032DB" w:rsidRDefault="00A032DB" w:rsidP="00A032DB">
      <w:pPr>
        <w:pStyle w:val="ad"/>
        <w:rPr>
          <w:rFonts w:ascii="David" w:hAnsi="David" w:cs="David"/>
          <w:b/>
          <w:bCs/>
          <w:i/>
          <w:iCs/>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b/>
          <w:bCs/>
          <w:i/>
          <w:iCs/>
          <w:sz w:val="24"/>
          <w:szCs w:val="24"/>
          <w:rtl/>
        </w:rPr>
        <w:t>בסיכומיה</w:t>
      </w:r>
      <w:r>
        <w:rPr>
          <w:rFonts w:ascii="David" w:hAnsi="David" w:cs="David"/>
          <w:sz w:val="24"/>
          <w:szCs w:val="24"/>
          <w:rtl/>
        </w:rPr>
        <w:t xml:space="preserve"> – הוסיפה, כי אין המדובר בהסכם למראית עין, שהרי הוא הובא לאישור בית המשפט וקיבל תוקף של פסק-דין, לאחר שהצדדים הצהירו בפני בית המשפט, כי הבינו אותו וחתמו עליו מרצון טוב. אין מקום לאפשר לתובע להשיב את הגלגל אחורה בטענת סרק שהחוזה שקרי; הדבר עולה כדי שימוש בבית המשפט כחותמת גומי לטענות שקריות ויש לדחות זאת בשאט נפש; המדובר בתביעה המנוגדת לעקרון סופיות הדיון.</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המדובר בפסק-דין חלוט שניתן בשנת 2009 ואין אפשרות לערער עליו אף לא לפני הערכאה המתאימה. </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התובע מושתק מלטעון כנגד ההסכם הנוסף שקיבל תוקף פס"ד, שהרי לשם כך נועד והתקיים הליך אישור ההסכם.</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התובע טוען כנגד הנתבעת שהיא עושקת אותו, בעוד שכל ההליכים הם פרי יוזמתו.</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lastRenderedPageBreak/>
        <w:t>התובע לא הוכיח את טענותיו והסתבך בשקרים בחקירה הנגדית שנערכה בשנת 2015 לפני המותב הקודם כשלא ידע לומר מתי נערך ההסכם השלישי ואזי טען בא כוחו הקודם לבעיות בזכרון התובע.</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הנתבעת לא היתה שותפה למרמה, כטענת התובע, שהרי היא טוענת כי רק ההסכם שאושר בבית המשפט הוא היחיד העומד.</w:t>
      </w:r>
    </w:p>
    <w:p w:rsidR="00A032DB" w:rsidRDefault="00A032DB" w:rsidP="00A032DB">
      <w:pPr>
        <w:pStyle w:val="ad"/>
        <w:rPr>
          <w:rFonts w:ascii="David" w:hAnsi="David" w:cs="David"/>
          <w:sz w:val="24"/>
          <w:szCs w:val="24"/>
        </w:rPr>
      </w:pPr>
    </w:p>
    <w:p w:rsidR="00A032DB" w:rsidRDefault="00A032DB" w:rsidP="00A032DB">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הנתבעת </w:t>
      </w:r>
      <w:r>
        <w:rPr>
          <w:rFonts w:ascii="David" w:hAnsi="David" w:cs="David"/>
          <w:b/>
          <w:bCs/>
          <w:i/>
          <w:iCs/>
          <w:sz w:val="24"/>
          <w:szCs w:val="24"/>
          <w:rtl/>
        </w:rPr>
        <w:t>חתמה על החוזה מרצונה המלא</w:t>
      </w:r>
      <w:r>
        <w:rPr>
          <w:rFonts w:ascii="David" w:hAnsi="David" w:cs="David"/>
          <w:sz w:val="24"/>
          <w:szCs w:val="24"/>
          <w:rtl/>
        </w:rPr>
        <w:t xml:space="preserve">, אישרה אותו בפני בית המשפט כדת וכדין (סעיף 29 לתצהירה). </w:t>
      </w:r>
    </w:p>
    <w:p w:rsidR="00A032DB" w:rsidRDefault="00A032DB" w:rsidP="00A032DB">
      <w:pPr>
        <w:pStyle w:val="ad"/>
        <w:rPr>
          <w:rFonts w:ascii="David" w:hAnsi="David" w:cs="David"/>
          <w:sz w:val="24"/>
          <w:szCs w:val="24"/>
        </w:rPr>
      </w:pPr>
    </w:p>
    <w:p w:rsidR="00A032DB" w:rsidRDefault="00A032DB" w:rsidP="005B7FD8">
      <w:pPr>
        <w:pStyle w:val="ad"/>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בפסה"ד של כב' המותב הקודם נשללה מהימנותו של עו"ד </w:t>
      </w:r>
      <w:r w:rsidR="005B7FD8">
        <w:rPr>
          <w:rFonts w:ascii="David" w:hAnsi="David" w:cs="David" w:hint="cs"/>
          <w:sz w:val="24"/>
          <w:szCs w:val="24"/>
          <w:rtl/>
        </w:rPr>
        <w:t>ג'</w:t>
      </w:r>
      <w:r>
        <w:rPr>
          <w:rFonts w:ascii="David" w:hAnsi="David" w:cs="David"/>
          <w:sz w:val="24"/>
          <w:szCs w:val="24"/>
          <w:rtl/>
        </w:rPr>
        <w:t xml:space="preserve"> ולא ניתן לתקן חוסר מהימנות במקצה שיפורים בעדות חוזרת ומשופצת.</w:t>
      </w:r>
    </w:p>
    <w:p w:rsidR="00A032DB" w:rsidRDefault="00A032DB" w:rsidP="00A032DB">
      <w:pPr>
        <w:rPr>
          <w:rFonts w:ascii="David" w:hAnsi="David"/>
          <w:b/>
          <w:bCs/>
          <w:u w:val="single"/>
        </w:rPr>
      </w:pPr>
    </w:p>
    <w:p w:rsidR="00A032DB" w:rsidRDefault="00A032DB" w:rsidP="00A032DB">
      <w:pPr>
        <w:rPr>
          <w:rFonts w:ascii="David" w:hAnsi="David"/>
          <w:b/>
          <w:bCs/>
          <w:u w:val="single"/>
          <w:rtl/>
        </w:rPr>
      </w:pPr>
      <w:r>
        <w:rPr>
          <w:rFonts w:ascii="David" w:hAnsi="David"/>
          <w:b/>
          <w:bCs/>
          <w:u w:val="single"/>
          <w:rtl/>
        </w:rPr>
        <w:t>עמדת האפוט' לדין</w:t>
      </w:r>
    </w:p>
    <w:p w:rsidR="00A032DB" w:rsidRDefault="00A032DB" w:rsidP="00A032DB">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בסיכומיה, טענה האפוט' לדין, כי אין לה היכולת להבין מהי נקודת הזמן שבה הצדדים או מי מהם הצהירו טענות עובדתיות נכונות בפני בית המשפט; העובדה שאין עליה חולק, היא כי ההסכם הראשון ולאחריו הנוסף (השני) אושרו ע"י בית המשפט.</w:t>
      </w:r>
    </w:p>
    <w:p w:rsidR="00A032DB" w:rsidRDefault="00A032DB" w:rsidP="00A032DB">
      <w:pPr>
        <w:pStyle w:val="ad"/>
        <w:spacing w:after="0" w:line="360" w:lineRule="auto"/>
        <w:jc w:val="both"/>
        <w:rPr>
          <w:rFonts w:ascii="David" w:hAnsi="David" w:cs="David"/>
          <w:sz w:val="24"/>
          <w:szCs w:val="24"/>
        </w:rPr>
      </w:pPr>
    </w:p>
    <w:p w:rsidR="00A032DB" w:rsidRDefault="00A032DB" w:rsidP="00A032DB">
      <w:pPr>
        <w:pStyle w:val="ad"/>
        <w:numPr>
          <w:ilvl w:val="0"/>
          <w:numId w:val="4"/>
        </w:numPr>
        <w:spacing w:after="0" w:line="360" w:lineRule="auto"/>
        <w:jc w:val="both"/>
        <w:rPr>
          <w:rFonts w:ascii="David" w:hAnsi="David" w:cs="David"/>
          <w:sz w:val="24"/>
          <w:szCs w:val="24"/>
        </w:rPr>
      </w:pPr>
      <w:r>
        <w:rPr>
          <w:rFonts w:ascii="David" w:hAnsi="David" w:cs="David"/>
          <w:sz w:val="24"/>
          <w:szCs w:val="24"/>
          <w:rtl/>
        </w:rPr>
        <w:t>ההסכם הנוסף שאושר קובע, כי במידה ויימכר בית המגורים, תקבל הקטינה לידיה סך של 200,000 ₪.</w:t>
      </w:r>
    </w:p>
    <w:p w:rsidR="00A032DB" w:rsidRDefault="00A032DB" w:rsidP="00A032DB">
      <w:pPr>
        <w:pStyle w:val="ad"/>
        <w:rPr>
          <w:rFonts w:ascii="David" w:hAnsi="David" w:cs="David"/>
          <w:sz w:val="24"/>
          <w:szCs w:val="24"/>
        </w:rPr>
      </w:pPr>
    </w:p>
    <w:p w:rsidR="00A032DB" w:rsidRDefault="00A032DB" w:rsidP="00A032DB">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הקטינה, אמנם, אינה צד להסכם, אולם אין להתעלם מהעובדה שבהסכם הנוסף קיימת כלפיה התחייבות פוזיטיבית לטובתה כצד ג'. </w:t>
      </w:r>
    </w:p>
    <w:p w:rsidR="00A032DB" w:rsidRDefault="00A032DB" w:rsidP="00A032DB">
      <w:pPr>
        <w:pStyle w:val="ad"/>
        <w:rPr>
          <w:rFonts w:ascii="David" w:hAnsi="David" w:cs="David"/>
          <w:sz w:val="24"/>
          <w:szCs w:val="24"/>
        </w:rPr>
      </w:pPr>
    </w:p>
    <w:p w:rsidR="00A032DB" w:rsidRDefault="00A032DB" w:rsidP="00A032DB">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אין כל הצדקה להורות על ביטול ההסכם הנוסף ובתפקידה כאפוט' לדין היא מתנגדת לכל ביטול שיש בו כדי לבטל הענקה מסוג זה באופן שיפגע בקטינה ובעתידה הכלכלי. </w:t>
      </w:r>
    </w:p>
    <w:p w:rsidR="00A032DB" w:rsidRDefault="00A032DB" w:rsidP="00A032DB">
      <w:pPr>
        <w:pStyle w:val="ad"/>
        <w:rPr>
          <w:rFonts w:ascii="David" w:hAnsi="David" w:cs="David"/>
          <w:sz w:val="24"/>
          <w:szCs w:val="24"/>
        </w:rPr>
      </w:pPr>
    </w:p>
    <w:p w:rsidR="00A032DB" w:rsidRDefault="00A032DB" w:rsidP="00A032DB">
      <w:pPr>
        <w:pStyle w:val="ad"/>
        <w:numPr>
          <w:ilvl w:val="0"/>
          <w:numId w:val="4"/>
        </w:numPr>
        <w:spacing w:after="0" w:line="360" w:lineRule="auto"/>
        <w:jc w:val="both"/>
        <w:rPr>
          <w:rFonts w:ascii="David" w:hAnsi="David" w:cs="David"/>
          <w:sz w:val="24"/>
          <w:szCs w:val="24"/>
          <w:rtl/>
        </w:rPr>
      </w:pPr>
      <w:r>
        <w:rPr>
          <w:rFonts w:ascii="David" w:hAnsi="David" w:cs="David"/>
          <w:sz w:val="24"/>
          <w:szCs w:val="24"/>
          <w:rtl/>
        </w:rPr>
        <w:t>התקיימו דיוני הוכחות בפני בית המשפט, שבמסגרתם ניסה כל אחד מהצדדים לחזק את עמדתו; אך אין ליתן משקל לעדות המשנה את הגרסה הקיימת בזמן אמת בהיותה עדות כבושה, זאת שהרי במועד אישור ההסכם הנוסף הם הצהירו בפני בית המשפט שהם מבינים את משמעותו ותוצאותיו ובהתאם עתרו לאישורו ולמתן תוקף של פס"ד. באותו האופן אין ליתן משקל לעדות התובע, מאחר ולא ניתן להבין מהי הנקודה שבה "העיד אמת", שהרי ברי כי כיום "משתלם" לו לטעון כי ההסכם הנוסף נערך למראית עין ואינו בר תוקף עוד.</w:t>
      </w:r>
    </w:p>
    <w:p w:rsidR="00A032DB" w:rsidRDefault="00A032DB" w:rsidP="00A032DB">
      <w:pPr>
        <w:spacing w:line="360" w:lineRule="auto"/>
        <w:jc w:val="both"/>
        <w:rPr>
          <w:rFonts w:ascii="David" w:hAnsi="David"/>
        </w:rPr>
      </w:pPr>
    </w:p>
    <w:p w:rsidR="00A032DB" w:rsidRDefault="00A032DB" w:rsidP="00A032DB">
      <w:pPr>
        <w:pStyle w:val="ad"/>
        <w:numPr>
          <w:ilvl w:val="0"/>
          <w:numId w:val="4"/>
        </w:numPr>
        <w:spacing w:after="0" w:line="360" w:lineRule="auto"/>
        <w:jc w:val="both"/>
        <w:rPr>
          <w:rFonts w:ascii="David" w:hAnsi="David" w:cs="David"/>
          <w:sz w:val="24"/>
          <w:szCs w:val="24"/>
        </w:rPr>
      </w:pPr>
      <w:r>
        <w:rPr>
          <w:rFonts w:ascii="David" w:hAnsi="David" w:cs="David"/>
          <w:sz w:val="24"/>
          <w:szCs w:val="24"/>
          <w:rtl/>
        </w:rPr>
        <w:t>על כן, יש להורות על סילוקה של התביעה על הסף תוך חיוב התובע בהוצאות משפט ושכ"ט עו"ד לטובת קופת המדינה.</w:t>
      </w:r>
    </w:p>
    <w:p w:rsidR="00A032DB" w:rsidRDefault="00A032DB" w:rsidP="00A032DB">
      <w:pPr>
        <w:pStyle w:val="ad"/>
        <w:rPr>
          <w:rFonts w:ascii="David" w:hAnsi="David" w:cs="David"/>
          <w:sz w:val="24"/>
          <w:szCs w:val="24"/>
        </w:rPr>
      </w:pPr>
    </w:p>
    <w:p w:rsidR="00A032DB" w:rsidRDefault="00A032DB" w:rsidP="00A032DB">
      <w:pPr>
        <w:rPr>
          <w:rFonts w:ascii="David" w:hAnsi="David"/>
          <w:b/>
          <w:bCs/>
          <w:u w:val="single"/>
          <w:rtl/>
        </w:rPr>
      </w:pPr>
      <w:r>
        <w:rPr>
          <w:rFonts w:ascii="David" w:hAnsi="David"/>
          <w:b/>
          <w:bCs/>
          <w:u w:val="single"/>
          <w:rtl/>
        </w:rPr>
        <w:lastRenderedPageBreak/>
        <w:t>ראיות הצדדים</w:t>
      </w:r>
    </w:p>
    <w:p w:rsidR="00374023" w:rsidRDefault="00374023" w:rsidP="00A032DB">
      <w:pPr>
        <w:rPr>
          <w:rFonts w:ascii="David" w:hAnsi="David"/>
          <w:b/>
          <w:bCs/>
          <w:u w:val="single"/>
          <w:rtl/>
        </w:rPr>
      </w:pPr>
    </w:p>
    <w:p w:rsidR="00A032DB" w:rsidRDefault="00A032DB" w:rsidP="00EC5DF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מטעם התובע הוגשו תצהיר עדות ראשית; כן הוגשו תצהירי עדים מטעם עו"ד </w:t>
      </w:r>
      <w:r w:rsidR="00EC5DF9">
        <w:rPr>
          <w:rFonts w:ascii="David" w:hAnsi="David" w:cs="David" w:hint="cs"/>
          <w:sz w:val="24"/>
          <w:szCs w:val="24"/>
          <w:rtl/>
        </w:rPr>
        <w:t>ג'</w:t>
      </w:r>
      <w:r>
        <w:rPr>
          <w:rFonts w:ascii="David" w:hAnsi="David" w:cs="David"/>
          <w:sz w:val="24"/>
          <w:szCs w:val="24"/>
          <w:rtl/>
        </w:rPr>
        <w:t xml:space="preserve"> ועו"ד </w:t>
      </w:r>
      <w:r w:rsidR="00F7030D">
        <w:rPr>
          <w:rFonts w:ascii="David" w:hAnsi="David" w:cs="David" w:hint="cs"/>
          <w:sz w:val="24"/>
          <w:szCs w:val="24"/>
          <w:rtl/>
        </w:rPr>
        <w:t>פ'</w:t>
      </w:r>
      <w:r>
        <w:rPr>
          <w:rFonts w:ascii="David" w:hAnsi="David" w:cs="David"/>
          <w:sz w:val="24"/>
          <w:szCs w:val="24"/>
          <w:rtl/>
        </w:rPr>
        <w:t>. מטעם הנתבעת הוגש תצהיר עדות ראשית; סיכומים הוגשו מטעם שני הצדדים וכן מטעם האפוט' לדין.</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מאז שהושב ההליך לערכאה זו נערכו 5 דיונים, ביניהם דיוני הוכחות ומשלא עלה בידי בית המשפט, על שני המותבים לפניהם נשמע התיק, להביא את הצדדים לגיבוש הסכמות, ניתן בזאת פסק הדין. </w:t>
      </w:r>
    </w:p>
    <w:p w:rsidR="00A032DB" w:rsidRDefault="00A032DB" w:rsidP="00A032DB">
      <w:pPr>
        <w:pStyle w:val="ad"/>
        <w:rPr>
          <w:rFonts w:ascii="David" w:hAnsi="David" w:cs="David"/>
          <w:sz w:val="24"/>
          <w:szCs w:val="24"/>
        </w:rPr>
      </w:pPr>
    </w:p>
    <w:p w:rsidR="00A032DB" w:rsidRDefault="00A032DB" w:rsidP="00A032DB">
      <w:pPr>
        <w:spacing w:line="360" w:lineRule="auto"/>
        <w:jc w:val="both"/>
        <w:rPr>
          <w:rFonts w:ascii="David" w:hAnsi="David"/>
          <w:b/>
          <w:bCs/>
          <w:u w:val="single"/>
          <w:rtl/>
        </w:rPr>
      </w:pPr>
      <w:r>
        <w:rPr>
          <w:rFonts w:ascii="David" w:hAnsi="David"/>
          <w:b/>
          <w:bCs/>
          <w:u w:val="single"/>
          <w:rtl/>
        </w:rPr>
        <w:t>דיון והכרעה</w:t>
      </w:r>
    </w:p>
    <w:p w:rsidR="00A032DB" w:rsidRDefault="00A032DB" w:rsidP="00A032DB">
      <w:pPr>
        <w:spacing w:line="360" w:lineRule="auto"/>
        <w:jc w:val="both"/>
        <w:rPr>
          <w:b/>
          <w:bCs/>
          <w:u w:val="single"/>
          <w:rtl/>
        </w:rPr>
      </w:pPr>
      <w:r>
        <w:rPr>
          <w:rFonts w:ascii="David" w:hAnsi="David"/>
          <w:b/>
          <w:bCs/>
          <w:u w:val="single"/>
          <w:rtl/>
        </w:rPr>
        <w:t>מסגרת נורמטיבית</w:t>
      </w:r>
      <w:r>
        <w:rPr>
          <w:b/>
          <w:bCs/>
          <w:u w:val="single"/>
          <w:rtl/>
        </w:rPr>
        <w:t xml:space="preserve"> –חוזה למראית עין</w:t>
      </w:r>
      <w:r>
        <w:rPr>
          <w:b/>
          <w:bCs/>
          <w:rtl/>
        </w:rPr>
        <w:t>?</w:t>
      </w:r>
    </w:p>
    <w:p w:rsidR="00A032DB" w:rsidRDefault="00A032DB" w:rsidP="00A032DB">
      <w:pPr>
        <w:spacing w:line="360" w:lineRule="auto"/>
        <w:jc w:val="both"/>
        <w:rPr>
          <w:rFonts w:ascii="David" w:hAnsi="David"/>
          <w:u w:val="single"/>
          <w:rtl/>
        </w:rPr>
      </w:pPr>
    </w:p>
    <w:p w:rsidR="00A032DB" w:rsidRDefault="00A032DB" w:rsidP="00A032DB">
      <w:pPr>
        <w:pStyle w:val="ad"/>
        <w:numPr>
          <w:ilvl w:val="0"/>
          <w:numId w:val="1"/>
        </w:numPr>
        <w:spacing w:after="0" w:line="360" w:lineRule="auto"/>
        <w:jc w:val="both"/>
        <w:rPr>
          <w:rFonts w:ascii="Times New Roman" w:hAnsi="Times New Roman" w:cs="David"/>
          <w:b/>
          <w:bCs/>
          <w:sz w:val="24"/>
          <w:szCs w:val="24"/>
        </w:rPr>
      </w:pPr>
      <w:r>
        <w:rPr>
          <w:rFonts w:ascii="David" w:hAnsi="David" w:cs="David"/>
          <w:sz w:val="24"/>
          <w:szCs w:val="24"/>
          <w:rtl/>
        </w:rPr>
        <w:t xml:space="preserve">סעיף 13 לחוק החוזים (חלק כללי) תשל"ג -1973 (להלן: </w:t>
      </w:r>
      <w:r>
        <w:rPr>
          <w:rFonts w:ascii="David" w:hAnsi="David" w:cs="David"/>
          <w:b/>
          <w:bCs/>
          <w:sz w:val="24"/>
          <w:szCs w:val="24"/>
          <w:rtl/>
        </w:rPr>
        <w:t>"חוק החוזים"</w:t>
      </w:r>
      <w:r>
        <w:rPr>
          <w:rFonts w:ascii="David" w:hAnsi="David" w:cs="David"/>
          <w:sz w:val="24"/>
          <w:szCs w:val="24"/>
          <w:rtl/>
        </w:rPr>
        <w:t xml:space="preserve">) קובע, כי </w:t>
      </w:r>
      <w:r>
        <w:rPr>
          <w:rFonts w:ascii="Times New Roman" w:hAnsi="Times New Roman" w:cs="David"/>
          <w:b/>
          <w:bCs/>
          <w:sz w:val="24"/>
          <w:szCs w:val="24"/>
          <w:rtl/>
        </w:rPr>
        <w:t xml:space="preserve">"חוזה שנכרת למראית עין בלבד - בטל; אין בהוראה זו כדי לפגוע בזכות שרכש אדם שלישי בהסתמכו בתום לב על קיום החוזה." </w:t>
      </w:r>
      <w:r>
        <w:rPr>
          <w:rFonts w:ascii="Times New Roman" w:hAnsi="Times New Roman" w:cs="David"/>
          <w:sz w:val="24"/>
          <w:szCs w:val="24"/>
          <w:rtl/>
        </w:rPr>
        <w:t xml:space="preserve"> </w:t>
      </w:r>
    </w:p>
    <w:p w:rsidR="00A032DB" w:rsidRDefault="00A032DB" w:rsidP="00A032DB">
      <w:pPr>
        <w:pStyle w:val="ad"/>
        <w:spacing w:after="0" w:line="360" w:lineRule="auto"/>
        <w:jc w:val="both"/>
        <w:rPr>
          <w:rFonts w:ascii="Times New Roman" w:hAnsi="Times New Roman" w:cs="David"/>
          <w:b/>
          <w:bCs/>
          <w:sz w:val="24"/>
          <w:szCs w:val="24"/>
        </w:rPr>
      </w:pPr>
    </w:p>
    <w:p w:rsidR="00A032DB" w:rsidRDefault="00A032DB" w:rsidP="00A032DB">
      <w:pPr>
        <w:pStyle w:val="ad"/>
        <w:numPr>
          <w:ilvl w:val="0"/>
          <w:numId w:val="1"/>
        </w:numPr>
        <w:spacing w:after="0" w:line="360" w:lineRule="auto"/>
        <w:jc w:val="both"/>
        <w:rPr>
          <w:rFonts w:ascii="David" w:hAnsi="David" w:cs="David"/>
          <w:sz w:val="24"/>
          <w:szCs w:val="24"/>
        </w:rPr>
      </w:pPr>
      <w:r>
        <w:rPr>
          <w:rFonts w:ascii="Times New Roman" w:hAnsi="Times New Roman" w:cs="David"/>
          <w:b/>
          <w:bCs/>
          <w:i/>
          <w:iCs/>
          <w:sz w:val="24"/>
          <w:szCs w:val="24"/>
          <w:rtl/>
        </w:rPr>
        <w:t>חוזה למראית עין</w:t>
      </w:r>
      <w:r>
        <w:rPr>
          <w:rFonts w:ascii="Times New Roman" w:hAnsi="Times New Roman" w:cs="David"/>
          <w:sz w:val="24"/>
          <w:szCs w:val="24"/>
          <w:rtl/>
        </w:rPr>
        <w:t xml:space="preserve"> הוא הסכם שבו מתקיימת </w:t>
      </w:r>
      <w:r>
        <w:rPr>
          <w:rFonts w:ascii="Times New Roman" w:hAnsi="Times New Roman" w:cs="David"/>
          <w:b/>
          <w:bCs/>
          <w:i/>
          <w:iCs/>
          <w:sz w:val="24"/>
          <w:szCs w:val="24"/>
          <w:rtl/>
        </w:rPr>
        <w:t xml:space="preserve">אי הלימה מכוונת </w:t>
      </w:r>
      <w:r>
        <w:rPr>
          <w:rFonts w:ascii="Times New Roman" w:hAnsi="Times New Roman" w:cs="David"/>
          <w:sz w:val="24"/>
          <w:szCs w:val="24"/>
          <w:rtl/>
        </w:rPr>
        <w:t xml:space="preserve">בין הצהרות הצדדים שבהסכם לבין רצונם לאשורו. כך שכלפי כולי עלמא מסכימים הצדדים על הסדר משפטי מוצהר וכתוב; ברם, זהו הסדר למראית עין בלבד, בעוד שכוונת הצדדים שונה </w:t>
      </w:r>
      <w:r>
        <w:rPr>
          <w:rFonts w:ascii="David" w:hAnsi="David" w:cs="David"/>
          <w:sz w:val="24"/>
          <w:szCs w:val="24"/>
          <w:rtl/>
        </w:rPr>
        <w:t xml:space="preserve">(ר', למשל,  ע"א 630/78 </w:t>
      </w:r>
      <w:r>
        <w:rPr>
          <w:rFonts w:ascii="David" w:hAnsi="David" w:cs="David"/>
          <w:b/>
          <w:bCs/>
          <w:sz w:val="24"/>
          <w:szCs w:val="24"/>
          <w:rtl/>
        </w:rPr>
        <w:t>י' ביטון ואח' נ' מזרחי</w:t>
      </w:r>
      <w:r>
        <w:rPr>
          <w:rFonts w:ascii="David" w:hAnsi="David" w:cs="David"/>
          <w:sz w:val="24"/>
          <w:szCs w:val="24"/>
          <w:rtl/>
        </w:rPr>
        <w:t xml:space="preserve">, פ"ד ל"ג(2) 576, 581; ע"א 6295/95 </w:t>
      </w:r>
      <w:r>
        <w:rPr>
          <w:rFonts w:ascii="David" w:hAnsi="David" w:cs="David"/>
          <w:b/>
          <w:bCs/>
          <w:sz w:val="24"/>
          <w:szCs w:val="24"/>
          <w:rtl/>
        </w:rPr>
        <w:t>סוליקה בוחסירה ואח' נ' רות בוחסירה ואח'</w:t>
      </w:r>
      <w:r>
        <w:rPr>
          <w:rFonts w:ascii="David" w:hAnsi="David" w:cs="David"/>
          <w:sz w:val="24"/>
          <w:szCs w:val="24"/>
          <w:rtl/>
        </w:rPr>
        <w:t xml:space="preserve"> פ"ד נ(1) 259)).</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בירור הליך, שבו עולה טענה מסוג זה, על בית המשפט להתחקות אחר </w:t>
      </w:r>
      <w:r>
        <w:rPr>
          <w:rFonts w:ascii="David" w:hAnsi="David" w:cs="David"/>
          <w:b/>
          <w:bCs/>
          <w:i/>
          <w:iCs/>
          <w:sz w:val="24"/>
          <w:szCs w:val="24"/>
          <w:rtl/>
        </w:rPr>
        <w:t>כוונתם האמתית</w:t>
      </w:r>
      <w:r>
        <w:rPr>
          <w:rFonts w:ascii="David" w:hAnsi="David" w:cs="David"/>
          <w:sz w:val="24"/>
          <w:szCs w:val="24"/>
          <w:rtl/>
        </w:rPr>
        <w:t xml:space="preserve"> של הצדדים </w:t>
      </w:r>
      <w:r>
        <w:rPr>
          <w:rFonts w:ascii="David" w:hAnsi="David" w:cs="David"/>
          <w:b/>
          <w:bCs/>
          <w:i/>
          <w:iCs/>
          <w:sz w:val="24"/>
          <w:szCs w:val="24"/>
          <w:rtl/>
        </w:rPr>
        <w:t>לעת כריתת החוזה</w:t>
      </w:r>
      <w:r>
        <w:rPr>
          <w:rFonts w:ascii="David" w:hAnsi="David" w:cs="David"/>
          <w:sz w:val="24"/>
          <w:szCs w:val="24"/>
          <w:rtl/>
        </w:rPr>
        <w:t xml:space="preserve">, בהבדל מזו המשתקפת בו. זוהי </w:t>
      </w:r>
      <w:r>
        <w:rPr>
          <w:rFonts w:ascii="David" w:hAnsi="David" w:cs="David"/>
          <w:b/>
          <w:bCs/>
          <w:i/>
          <w:iCs/>
          <w:sz w:val="24"/>
          <w:szCs w:val="24"/>
          <w:rtl/>
        </w:rPr>
        <w:t>שאלה עובדתית הטעונה בירור ראייתי וקביעת ממצאים,</w:t>
      </w:r>
      <w:r>
        <w:rPr>
          <w:rFonts w:ascii="David" w:hAnsi="David" w:cs="David"/>
          <w:sz w:val="24"/>
          <w:szCs w:val="24"/>
          <w:rtl/>
        </w:rPr>
        <w:t xml:space="preserve"> העולים ממכלול הנסיבות בהתאם.</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הפסיקה הכירה באפשרות לביסוס ההכרעה בנדון על יסוד כלל הראיות העומדות לפני בית המשפט, לרבות אלו הנסיבתיות המצויות, מטבע הדברים, במקרים מעין אלו, שבהם פעלו הצדדים, כלפי חוץ ובמכוון, על מנת להעלים את כוונתם האמתית (</w:t>
      </w:r>
      <w:r w:rsidRPr="00374023">
        <w:rPr>
          <w:rFonts w:ascii="David" w:hAnsi="David" w:cs="David"/>
          <w:b/>
          <w:bCs/>
          <w:sz w:val="24"/>
          <w:szCs w:val="24"/>
          <w:rtl/>
        </w:rPr>
        <w:t>ע"א 1780/93 בנק המזרחי המאוחד בע"מ נ' יהודית אולצ'יק</w:t>
      </w:r>
      <w:r w:rsidRPr="00374023">
        <w:rPr>
          <w:rFonts w:ascii="David" w:hAnsi="David" w:cs="David"/>
          <w:sz w:val="24"/>
          <w:szCs w:val="24"/>
          <w:rtl/>
        </w:rPr>
        <w:t>, פ"ד נ</w:t>
      </w:r>
      <w:r>
        <w:rPr>
          <w:rFonts w:ascii="David" w:hAnsi="David" w:cs="David"/>
          <w:sz w:val="24"/>
          <w:szCs w:val="24"/>
          <w:rtl/>
        </w:rPr>
        <w:t>(2)41, 43).</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after="0" w:line="360" w:lineRule="auto"/>
        <w:jc w:val="both"/>
        <w:rPr>
          <w:rFonts w:ascii="David" w:hAnsi="David" w:cs="David"/>
          <w:sz w:val="24"/>
          <w:szCs w:val="24"/>
          <w:rtl/>
        </w:rPr>
      </w:pPr>
      <w:r>
        <w:rPr>
          <w:rFonts w:ascii="David" w:hAnsi="David" w:cs="David"/>
          <w:b/>
          <w:bCs/>
          <w:i/>
          <w:iCs/>
          <w:sz w:val="24"/>
          <w:szCs w:val="24"/>
          <w:rtl/>
        </w:rPr>
        <w:t xml:space="preserve">הנטל </w:t>
      </w:r>
      <w:r>
        <w:rPr>
          <w:rFonts w:ascii="David" w:hAnsi="David" w:cs="David"/>
          <w:sz w:val="24"/>
          <w:szCs w:val="24"/>
          <w:rtl/>
        </w:rPr>
        <w:t xml:space="preserve">להוכיח, כי בחוזה למראית עין עסקינן מוטל על שכמו של הצד הטוען לחוסר אמיתות החוזה; וזה, כנקבע בפסיקה, כמצדיק מטיבו הטלת  </w:t>
      </w:r>
      <w:r>
        <w:rPr>
          <w:rFonts w:ascii="David" w:hAnsi="David" w:cs="David"/>
          <w:b/>
          <w:bCs/>
          <w:i/>
          <w:iCs/>
          <w:sz w:val="24"/>
          <w:szCs w:val="24"/>
          <w:rtl/>
        </w:rPr>
        <w:t>נטל מוגבר</w:t>
      </w:r>
      <w:r>
        <w:rPr>
          <w:rFonts w:ascii="David" w:hAnsi="David" w:cs="David"/>
          <w:sz w:val="24"/>
          <w:szCs w:val="24"/>
          <w:rtl/>
        </w:rPr>
        <w:t xml:space="preserve"> (ר' ע"א 3642/11 </w:t>
      </w:r>
      <w:r>
        <w:rPr>
          <w:rFonts w:ascii="David" w:hAnsi="David" w:cs="David"/>
          <w:b/>
          <w:bCs/>
          <w:sz w:val="24"/>
          <w:szCs w:val="24"/>
          <w:rtl/>
        </w:rPr>
        <w:t xml:space="preserve">הדר כהן נ' סמיר גטאס </w:t>
      </w:r>
      <w:r>
        <w:rPr>
          <w:rFonts w:ascii="David" w:hAnsi="David" w:cs="David"/>
          <w:sz w:val="24"/>
          <w:szCs w:val="24"/>
          <w:rtl/>
        </w:rPr>
        <w:t>(פורסם במאגרים האלקטרוניים, 3.3.14) פסקה 7 לפסה"ד של כב' הנשיאה חיות).</w:t>
      </w:r>
    </w:p>
    <w:p w:rsidR="00A032DB" w:rsidRDefault="00A032DB" w:rsidP="00A032DB">
      <w:pPr>
        <w:pStyle w:val="ad"/>
        <w:numPr>
          <w:ilvl w:val="0"/>
          <w:numId w:val="1"/>
        </w:numPr>
        <w:spacing w:after="0" w:line="360" w:lineRule="auto"/>
        <w:jc w:val="both"/>
        <w:rPr>
          <w:rFonts w:ascii="David" w:hAnsi="David" w:cs="David"/>
          <w:sz w:val="24"/>
          <w:szCs w:val="24"/>
          <w:rtl/>
        </w:rPr>
      </w:pPr>
      <w:r>
        <w:rPr>
          <w:rFonts w:ascii="Arial" w:eastAsia="Times New Roman" w:hAnsi="Arial" w:cs="David"/>
          <w:sz w:val="24"/>
          <w:szCs w:val="24"/>
          <w:rtl/>
        </w:rPr>
        <w:lastRenderedPageBreak/>
        <w:t xml:space="preserve">קובע סעיף 13 לחוק החוזים שחוזה מסוג זה בטל; משכך אין בידו להעביר זכויות ומה שנחזה כאילו עבר על פיו, מעולם לא יצא מבעלות המעביר. חובת השבה במקרה זה נובעת מדיני עשיית עושר ולא במשפט (ר' לעניין זה </w:t>
      </w:r>
      <w:r w:rsidRPr="00374023">
        <w:rPr>
          <w:rFonts w:ascii="Arial" w:eastAsia="Times New Roman" w:hAnsi="Arial" w:cs="David"/>
          <w:sz w:val="24"/>
          <w:szCs w:val="24"/>
          <w:rtl/>
        </w:rPr>
        <w:t xml:space="preserve">ע"א 1043/91 </w:t>
      </w:r>
      <w:r w:rsidRPr="00374023">
        <w:rPr>
          <w:rFonts w:ascii="Arial" w:eastAsia="Times New Roman" w:hAnsi="Arial" w:cs="David"/>
          <w:b/>
          <w:bCs/>
          <w:sz w:val="24"/>
          <w:szCs w:val="24"/>
          <w:rtl/>
        </w:rPr>
        <w:t>בר חן נ' כוכבי</w:t>
      </w:r>
      <w:r w:rsidRPr="00374023">
        <w:rPr>
          <w:rFonts w:ascii="Arial" w:eastAsia="Times New Roman" w:hAnsi="Arial" w:cs="David"/>
          <w:sz w:val="24"/>
          <w:szCs w:val="24"/>
          <w:rtl/>
        </w:rPr>
        <w:t>, פ"ד מז</w:t>
      </w:r>
      <w:r>
        <w:rPr>
          <w:rFonts w:ascii="Arial" w:eastAsia="Times New Roman" w:hAnsi="Arial" w:cs="David"/>
          <w:sz w:val="24"/>
          <w:szCs w:val="24"/>
          <w:rtl/>
        </w:rPr>
        <w:t xml:space="preserve">(2) 311); וכן בספרה של פרופ' </w:t>
      </w:r>
      <w:r>
        <w:rPr>
          <w:rFonts w:ascii="Times New Roman" w:hAnsi="Times New Roman" w:cs="David"/>
          <w:sz w:val="24"/>
          <w:szCs w:val="24"/>
          <w:rtl/>
        </w:rPr>
        <w:t>גבריאלה שלו "דיני חוזים" מהדורה שניה, בעמ' 167)</w:t>
      </w:r>
      <w:r>
        <w:rPr>
          <w:rFonts w:ascii="Arial" w:eastAsia="Times New Roman" w:hAnsi="Arial" w:cs="David"/>
          <w:sz w:val="24"/>
          <w:szCs w:val="24"/>
          <w:rtl/>
        </w:rPr>
        <w:t>.</w:t>
      </w:r>
    </w:p>
    <w:p w:rsidR="00A032DB" w:rsidRDefault="00A032DB" w:rsidP="00A032DB">
      <w:pPr>
        <w:pStyle w:val="ad"/>
        <w:rPr>
          <w:rFonts w:ascii="David" w:hAnsi="David" w:cs="David"/>
          <w:sz w:val="24"/>
          <w:szCs w:val="24"/>
        </w:rPr>
      </w:pPr>
    </w:p>
    <w:p w:rsidR="00A032DB" w:rsidRDefault="00A032DB" w:rsidP="00A032DB">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כבר בפסיקה מוקדמת של ערכאת המשפחה נפסק כי, </w:t>
      </w:r>
      <w:r>
        <w:rPr>
          <w:rFonts w:ascii="David" w:hAnsi="David" w:cs="David"/>
          <w:i/>
          <w:iCs/>
          <w:sz w:val="24"/>
          <w:szCs w:val="24"/>
          <w:rtl/>
        </w:rPr>
        <w:t>תקנת הציבור מחייבת לפעול לשירושן של טענות בדבר חוזה למראית</w:t>
      </w:r>
      <w:r>
        <w:rPr>
          <w:rFonts w:ascii="David" w:hAnsi="David" w:cs="David"/>
          <w:sz w:val="24"/>
          <w:szCs w:val="24"/>
          <w:rtl/>
        </w:rPr>
        <w:t xml:space="preserve"> עין העולה במסגרת סכסוכי משפחה וביתר שאת במישור יחסי בני זוג ולצורך הברחת רכוש מנושים; </w:t>
      </w:r>
      <w:r>
        <w:rPr>
          <w:rFonts w:ascii="David" w:hAnsi="David" w:cs="David"/>
          <w:i/>
          <w:iCs/>
          <w:sz w:val="24"/>
          <w:szCs w:val="24"/>
          <w:rtl/>
        </w:rPr>
        <w:t>זאת, לרבות על דרך העלאת רף ההוכחה הנדרש</w:t>
      </w:r>
      <w:r>
        <w:rPr>
          <w:rFonts w:ascii="David" w:hAnsi="David" w:cs="David"/>
          <w:sz w:val="24"/>
          <w:szCs w:val="24"/>
          <w:rtl/>
        </w:rPr>
        <w:t>:</w:t>
      </w:r>
    </w:p>
    <w:p w:rsidR="00A032DB" w:rsidRDefault="00A032DB" w:rsidP="00A032DB">
      <w:pPr>
        <w:pStyle w:val="ad"/>
        <w:rPr>
          <w:rFonts w:ascii="David" w:hAnsi="David" w:cs="David"/>
          <w:sz w:val="24"/>
          <w:szCs w:val="24"/>
        </w:rPr>
      </w:pPr>
    </w:p>
    <w:p w:rsidR="00A032DB" w:rsidRDefault="00A032DB" w:rsidP="00A032DB">
      <w:pPr>
        <w:pStyle w:val="ad"/>
        <w:spacing w:after="0" w:line="360" w:lineRule="auto"/>
        <w:jc w:val="both"/>
        <w:rPr>
          <w:rFonts w:ascii="David" w:hAnsi="David" w:cs="David"/>
          <w:sz w:val="24"/>
          <w:szCs w:val="24"/>
          <w:rtl/>
        </w:rPr>
      </w:pPr>
      <w:r>
        <w:rPr>
          <w:rFonts w:ascii="David" w:hAnsi="David" w:cs="David"/>
          <w:b/>
          <w:bCs/>
          <w:i/>
          <w:iCs/>
          <w:sz w:val="24"/>
          <w:szCs w:val="24"/>
          <w:rtl/>
        </w:rPr>
        <w:t>"בדיני המשפחה, תקנת הציבור מחייבת לעקור מן השורש תופעה פסולה של שימוש לרעה בהליכי בית משפט (אישור הסכמי גירושין למראית עין וביצוע גירושין פיקטיביים בבית הדין הדתי) כדי להבריח רכוש מנושים</w:t>
      </w:r>
      <w:r>
        <w:rPr>
          <w:rFonts w:ascii="David" w:hAnsi="David" w:cs="David"/>
          <w:b/>
          <w:bCs/>
          <w:i/>
          <w:iCs/>
          <w:sz w:val="24"/>
          <w:szCs w:val="24"/>
          <w:u w:val="single"/>
          <w:rtl/>
        </w:rPr>
        <w:t>. מדיניות שיפוטית זו של בית המשפט למשפחה עשויה להביא להטלת נטל ראיה כבד יותר על בן-הזוג התובע ביטול הסכם גירושין בטענה של פיקטיביות</w:t>
      </w:r>
      <w:r>
        <w:rPr>
          <w:rFonts w:ascii="David" w:hAnsi="David" w:cs="David"/>
          <w:b/>
          <w:bCs/>
          <w:i/>
          <w:iCs/>
          <w:sz w:val="24"/>
          <w:szCs w:val="24"/>
          <w:rtl/>
        </w:rPr>
        <w:t xml:space="preserve">. </w:t>
      </w:r>
      <w:r>
        <w:rPr>
          <w:rFonts w:ascii="David" w:hAnsi="David" w:cs="David"/>
          <w:b/>
          <w:bCs/>
          <w:sz w:val="24"/>
          <w:szCs w:val="24"/>
          <w:rtl/>
        </w:rPr>
        <w:t>יש להשוות את הדרישה הראייתית הנדרשת במשפטים אלה לדרישה הראייתית הנדרשת במשפטי מרמה והונאה בהליכים אזרחיים, שהרי השימוש בבית משפט ובבית הדין כדי לאשר הסכמים למראית עין ולבצע גירושין פיקטיביים - הם גם בגדר סוג של הונאה כלפי בית המשפט.</w:t>
      </w:r>
      <w:r>
        <w:rPr>
          <w:rFonts w:ascii="David" w:hAnsi="David" w:cs="David"/>
          <w:b/>
          <w:bCs/>
          <w:sz w:val="24"/>
          <w:szCs w:val="24"/>
          <w:u w:val="single"/>
          <w:rtl/>
        </w:rPr>
        <w:t xml:space="preserve"> אין צורך אמנם בהוכחה מעל כל ספק סביר אולם תידרש מידת הוכחה יותר גדולה ויותר ודאית מאשר במשפט אזרחי רגיל</w:t>
      </w:r>
      <w:r>
        <w:rPr>
          <w:rFonts w:ascii="David" w:hAnsi="David" w:cs="David"/>
          <w:b/>
          <w:bCs/>
          <w:sz w:val="24"/>
          <w:szCs w:val="24"/>
          <w:rtl/>
        </w:rPr>
        <w:t xml:space="preserve">." </w:t>
      </w:r>
      <w:r>
        <w:rPr>
          <w:rFonts w:ascii="David" w:hAnsi="David" w:cs="David"/>
          <w:sz w:val="24"/>
          <w:szCs w:val="24"/>
          <w:rtl/>
        </w:rPr>
        <w:t xml:space="preserve">(פסה"ד של כב' השופט י' גייפמן, בתמ"ש (ת"א) 13461/96 </w:t>
      </w:r>
      <w:r>
        <w:rPr>
          <w:rFonts w:ascii="David" w:hAnsi="David" w:cs="David"/>
          <w:b/>
          <w:bCs/>
          <w:sz w:val="24"/>
          <w:szCs w:val="24"/>
          <w:rtl/>
        </w:rPr>
        <w:t xml:space="preserve">אמיר אלטשולר נ' אהובה אלטשולר </w:t>
      </w:r>
      <w:r>
        <w:rPr>
          <w:rFonts w:ascii="David" w:hAnsi="David" w:cs="David"/>
          <w:sz w:val="24"/>
          <w:szCs w:val="24"/>
          <w:rtl/>
        </w:rPr>
        <w:t>(פורסם במאגרים האלקטרוניים, 8.12.04) פסקה 20, הדגשות במקור).</w:t>
      </w:r>
    </w:p>
    <w:p w:rsidR="00A032DB" w:rsidRDefault="00A032DB" w:rsidP="00A032DB">
      <w:pPr>
        <w:pStyle w:val="ad"/>
        <w:spacing w:after="0" w:line="360" w:lineRule="auto"/>
        <w:jc w:val="both"/>
        <w:rPr>
          <w:rFonts w:ascii="David" w:hAnsi="David"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u w:val="single"/>
        </w:rPr>
      </w:pPr>
      <w:r>
        <w:rPr>
          <w:rFonts w:ascii="David" w:hAnsi="David" w:cs="David"/>
          <w:b/>
          <w:bCs/>
          <w:i/>
          <w:iCs/>
          <w:sz w:val="24"/>
          <w:szCs w:val="24"/>
          <w:rtl/>
        </w:rPr>
        <w:t>נדבך נורמטיבי</w:t>
      </w:r>
      <w:r>
        <w:rPr>
          <w:rFonts w:ascii="David" w:hAnsi="David" w:cs="David"/>
          <w:sz w:val="24"/>
          <w:szCs w:val="24"/>
          <w:rtl/>
        </w:rPr>
        <w:t xml:space="preserve"> </w:t>
      </w:r>
      <w:r>
        <w:rPr>
          <w:rFonts w:ascii="David" w:hAnsi="David" w:cs="David"/>
          <w:b/>
          <w:bCs/>
          <w:i/>
          <w:iCs/>
          <w:sz w:val="24"/>
          <w:szCs w:val="24"/>
          <w:rtl/>
        </w:rPr>
        <w:t>נוסף</w:t>
      </w:r>
      <w:r>
        <w:rPr>
          <w:rFonts w:ascii="David" w:hAnsi="David" w:cs="David"/>
          <w:sz w:val="24"/>
          <w:szCs w:val="24"/>
          <w:rtl/>
        </w:rPr>
        <w:t xml:space="preserve"> הנדרש לדיון הוא ה</w:t>
      </w:r>
      <w:r>
        <w:rPr>
          <w:rFonts w:ascii="David" w:hAnsi="David" w:cs="David"/>
          <w:b/>
          <w:bCs/>
          <w:i/>
          <w:iCs/>
          <w:sz w:val="24"/>
          <w:szCs w:val="24"/>
          <w:rtl/>
        </w:rPr>
        <w:t>נפקות המשפטית וטיב הסעדים</w:t>
      </w:r>
      <w:r>
        <w:rPr>
          <w:rFonts w:ascii="David" w:hAnsi="David" w:cs="David"/>
          <w:sz w:val="24"/>
          <w:szCs w:val="24"/>
          <w:rtl/>
        </w:rPr>
        <w:t xml:space="preserve"> העשויים לצמוח מקבלת הטענה בדבר היות חוזה – חוזה למראית עין. </w:t>
      </w:r>
    </w:p>
    <w:p w:rsidR="00A032DB" w:rsidRDefault="00A032DB" w:rsidP="00A032DB">
      <w:pPr>
        <w:pStyle w:val="ad"/>
        <w:rPr>
          <w:rFonts w:ascii="Times New Roman" w:hAnsi="Times New Roman" w:cs="David"/>
          <w:sz w:val="24"/>
          <w:szCs w:val="24"/>
          <w:u w:val="single"/>
        </w:rPr>
      </w:pPr>
    </w:p>
    <w:p w:rsidR="00A032DB" w:rsidRDefault="00A032DB" w:rsidP="00A032DB">
      <w:pPr>
        <w:pStyle w:val="ad"/>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כאן זוהתה בפסיקת המשפחה </w:t>
      </w:r>
      <w:r>
        <w:rPr>
          <w:rFonts w:ascii="Times New Roman" w:hAnsi="Times New Roman" w:cs="David"/>
          <w:b/>
          <w:bCs/>
          <w:i/>
          <w:iCs/>
          <w:sz w:val="24"/>
          <w:szCs w:val="24"/>
          <w:rtl/>
        </w:rPr>
        <w:t xml:space="preserve">מגמה הנעה על ציר שבין הכרעה בדבר בטלות ההסכם מחמת טיבו </w:t>
      </w:r>
      <w:r>
        <w:rPr>
          <w:rFonts w:ascii="Times New Roman" w:hAnsi="Times New Roman" w:cs="David"/>
          <w:i/>
          <w:iCs/>
          <w:sz w:val="24"/>
          <w:szCs w:val="24"/>
          <w:rtl/>
        </w:rPr>
        <w:t>(כפוף לעמידה בנטל הראייה המוגבר),</w:t>
      </w:r>
      <w:r>
        <w:rPr>
          <w:rFonts w:ascii="Times New Roman" w:hAnsi="Times New Roman" w:cs="David"/>
          <w:b/>
          <w:bCs/>
          <w:i/>
          <w:iCs/>
          <w:sz w:val="24"/>
          <w:szCs w:val="24"/>
          <w:rtl/>
        </w:rPr>
        <w:t xml:space="preserve"> לבין  הסוברים, כי אין כל מקום להושטת סעד מעין זה לתובע, אשר עשה פלסתר מהליכי בית המשפט</w:t>
      </w:r>
      <w:r>
        <w:rPr>
          <w:rFonts w:ascii="Times New Roman" w:hAnsi="Times New Roman" w:cs="David"/>
          <w:sz w:val="24"/>
          <w:szCs w:val="24"/>
          <w:rtl/>
        </w:rPr>
        <w:t xml:space="preserve"> (ר' סקירות הפסיקה על מגמותיה הן בתמ"ש 22568-11-11 </w:t>
      </w:r>
      <w:r>
        <w:rPr>
          <w:rFonts w:ascii="Times New Roman" w:hAnsi="Times New Roman" w:cs="David"/>
          <w:b/>
          <w:bCs/>
          <w:sz w:val="24"/>
          <w:szCs w:val="24"/>
          <w:rtl/>
        </w:rPr>
        <w:t xml:space="preserve">פלוני נ' פלונית </w:t>
      </w:r>
      <w:r>
        <w:rPr>
          <w:rFonts w:ascii="Times New Roman" w:hAnsi="Times New Roman" w:cs="David"/>
          <w:sz w:val="24"/>
          <w:szCs w:val="24"/>
          <w:rtl/>
        </w:rPr>
        <w:t xml:space="preserve">(פורסם במאגרים האלקטרוניים, 18.10.16) פסקאות 86-92 לפסה"ד של כב' השופטת ו' ריקנטי-רוסהר; כן בתמ"ש 28247-01-15 </w:t>
      </w:r>
      <w:r>
        <w:rPr>
          <w:rFonts w:ascii="Times New Roman" w:hAnsi="Times New Roman" w:cs="David"/>
          <w:b/>
          <w:bCs/>
          <w:sz w:val="24"/>
          <w:szCs w:val="24"/>
          <w:rtl/>
        </w:rPr>
        <w:t xml:space="preserve">מ.ש. נ' א.צ </w:t>
      </w:r>
      <w:r>
        <w:rPr>
          <w:rFonts w:ascii="Times New Roman" w:hAnsi="Times New Roman" w:cs="David"/>
          <w:sz w:val="24"/>
          <w:szCs w:val="24"/>
          <w:rtl/>
        </w:rPr>
        <w:t xml:space="preserve">(פורסם במאגרים האלקטרוניים, 29.11.16 פסקאות 36-37 לפסה"ד של כב' השופט נ' פלקס; וכן בעמ"ש (ת"א) 36448-12-17 </w:t>
      </w:r>
      <w:r>
        <w:rPr>
          <w:rFonts w:ascii="Times New Roman" w:hAnsi="Times New Roman" w:cs="David"/>
          <w:b/>
          <w:bCs/>
          <w:sz w:val="24"/>
          <w:szCs w:val="24"/>
          <w:rtl/>
        </w:rPr>
        <w:t xml:space="preserve">ע' ה' נ' ת' ש' </w:t>
      </w:r>
      <w:r>
        <w:rPr>
          <w:rFonts w:ascii="Times New Roman" w:hAnsi="Times New Roman" w:cs="David"/>
          <w:sz w:val="24"/>
          <w:szCs w:val="24"/>
          <w:rtl/>
        </w:rPr>
        <w:t>(פורסם במאגרים האלקטרוניים,</w:t>
      </w:r>
      <w:r>
        <w:rPr>
          <w:rFonts w:ascii="Times New Roman" w:hAnsi="Times New Roman" w:cs="David"/>
          <w:b/>
          <w:bCs/>
          <w:sz w:val="24"/>
          <w:szCs w:val="24"/>
          <w:rtl/>
        </w:rPr>
        <w:t xml:space="preserve"> </w:t>
      </w:r>
      <w:r>
        <w:rPr>
          <w:rFonts w:ascii="Times New Roman" w:hAnsi="Times New Roman" w:cs="David"/>
          <w:sz w:val="24"/>
          <w:szCs w:val="24"/>
          <w:rtl/>
        </w:rPr>
        <w:t>5.9.19) פסקה 22 לפסה"ד של כב' השופט ש' שוחט).</w:t>
      </w:r>
    </w:p>
    <w:p w:rsidR="00A032DB" w:rsidRDefault="00A032DB" w:rsidP="00A032DB">
      <w:pPr>
        <w:pStyle w:val="ad"/>
        <w:spacing w:after="0" w:line="360" w:lineRule="auto"/>
        <w:jc w:val="both"/>
        <w:rPr>
          <w:rFonts w:ascii="Times New Roman" w:hAnsi="Times New Roman" w:cs="David"/>
          <w:sz w:val="24"/>
          <w:szCs w:val="24"/>
          <w:rtl/>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על השיקולים העומדים בבסיס העמדה, לפיה אין מקום להעתר לסעדים כבטלות החוזה, ניתן למנות, בין השאר, את דוקטרינת ההשתק השיפוטי, מניעות וכן מדיניות שיפוטית ראויה, </w:t>
      </w:r>
      <w:r>
        <w:rPr>
          <w:rFonts w:ascii="Times New Roman" w:hAnsi="Times New Roman" w:cs="David"/>
          <w:sz w:val="24"/>
          <w:szCs w:val="24"/>
          <w:rtl/>
        </w:rPr>
        <w:lastRenderedPageBreak/>
        <w:t xml:space="preserve">לפיה אל לו לבית המשפט לתת יד לעריכת הסכמים פיקטיביים ושימוש לרעה בהליכי משפט, למשל לצורך הברחת נכסים מנושים, וביתר שאת שעה שעסקינן בסעד הצהרתי שמקורו בדיני היושר (ראה לעניין זה דברי כב' השופט ס' ג'יוסי  </w:t>
      </w:r>
      <w:r>
        <w:rPr>
          <w:rFonts w:ascii="Times New Roman" w:eastAsia="Times New Roman" w:hAnsi="Times New Roman" w:cs="David"/>
          <w:sz w:val="24"/>
          <w:szCs w:val="24"/>
          <w:rtl/>
        </w:rPr>
        <w:t>בסעיף 17 בתמ"ש (נצ') 5052/00</w:t>
      </w:r>
      <w:r>
        <w:rPr>
          <w:rFonts w:ascii="Times New Roman" w:hAnsi="Times New Roman" w:cs="David"/>
          <w:sz w:val="24"/>
          <w:szCs w:val="24"/>
          <w:rtl/>
        </w:rPr>
        <w:t xml:space="preserve"> </w:t>
      </w:r>
      <w:r>
        <w:rPr>
          <w:rFonts w:ascii="Times New Roman" w:hAnsi="Times New Roman" w:cs="David"/>
          <w:b/>
          <w:bCs/>
          <w:sz w:val="24"/>
          <w:szCs w:val="24"/>
          <w:rtl/>
        </w:rPr>
        <w:t>א.נ. נ' א.ר.נ</w:t>
      </w:r>
      <w:r>
        <w:rPr>
          <w:rFonts w:ascii="Times New Roman" w:hAnsi="Times New Roman" w:cs="David"/>
          <w:sz w:val="24"/>
          <w:szCs w:val="24"/>
          <w:rtl/>
        </w:rPr>
        <w:t xml:space="preserve"> (פורסם במאגרים האלקטרוניים, 19.8.08)). </w:t>
      </w:r>
    </w:p>
    <w:p w:rsidR="00A032DB" w:rsidRDefault="00A032DB" w:rsidP="00A032DB">
      <w:pPr>
        <w:pStyle w:val="ad"/>
        <w:spacing w:after="0" w:line="360" w:lineRule="auto"/>
        <w:jc w:val="both"/>
        <w:rPr>
          <w:rFonts w:ascii="Times New Roman" w:hAnsi="Times New Roman" w:cs="David"/>
          <w:b/>
          <w:bCs/>
          <w:sz w:val="24"/>
          <w:szCs w:val="24"/>
          <w:highlight w:val="cyan"/>
        </w:rPr>
      </w:pPr>
    </w:p>
    <w:p w:rsidR="00A032DB" w:rsidRDefault="00A032DB" w:rsidP="00A032DB">
      <w:pPr>
        <w:pStyle w:val="ad"/>
        <w:numPr>
          <w:ilvl w:val="0"/>
          <w:numId w:val="1"/>
        </w:numPr>
        <w:spacing w:after="0" w:line="360" w:lineRule="auto"/>
        <w:jc w:val="both"/>
        <w:rPr>
          <w:rFonts w:ascii="Times New Roman" w:hAnsi="Times New Roman" w:cs="David"/>
          <w:b/>
          <w:bCs/>
          <w:sz w:val="24"/>
          <w:szCs w:val="24"/>
        </w:rPr>
      </w:pPr>
      <w:r>
        <w:rPr>
          <w:rFonts w:ascii="Times New Roman" w:hAnsi="Times New Roman" w:cs="David"/>
          <w:sz w:val="24"/>
          <w:szCs w:val="24"/>
          <w:rtl/>
        </w:rPr>
        <w:t xml:space="preserve">בהקשר זה יצוין, כי במקרים שבהם מצא בית המשפט להיעתר לסעד המבוקש מחמת הפיקטיביות הנטענת של החוזה, הוא איזן את מורת רוחו, הברורה מאליה, מנוהג פסול זה, על דרך פסיקת הוצאות לטובת אוצר המדינה, לעיתים בהיקף בלתי מבוטל (ר' למשל פסה"ד של כב' השופט שוחט עוד משנת 2005 בתמ"ש (ת"א) 72445/98 </w:t>
      </w:r>
      <w:r>
        <w:rPr>
          <w:rFonts w:ascii="Times New Roman" w:hAnsi="Times New Roman" w:cs="David"/>
          <w:b/>
          <w:bCs/>
          <w:sz w:val="24"/>
          <w:szCs w:val="24"/>
          <w:rtl/>
        </w:rPr>
        <w:t xml:space="preserve">ח.צ נ' ט.ח </w:t>
      </w:r>
      <w:r>
        <w:rPr>
          <w:rFonts w:ascii="Times New Roman" w:hAnsi="Times New Roman" w:cs="David"/>
          <w:sz w:val="24"/>
          <w:szCs w:val="24"/>
          <w:rtl/>
        </w:rPr>
        <w:t xml:space="preserve">(פורסם במאגרים האלקטרוניים, 24.3.05) בו חויבו שני הצדדים בסך של 50,000 ₪ הוצאות לטובת אוצר המדינה; כן ר' תמ"ש 22568-11-11 </w:t>
      </w:r>
      <w:r>
        <w:rPr>
          <w:rFonts w:ascii="Times New Roman" w:hAnsi="Times New Roman" w:cs="David"/>
          <w:b/>
          <w:bCs/>
          <w:sz w:val="24"/>
          <w:szCs w:val="24"/>
          <w:rtl/>
        </w:rPr>
        <w:t xml:space="preserve">פלוני נ' פלונית </w:t>
      </w:r>
      <w:r>
        <w:rPr>
          <w:rFonts w:ascii="Times New Roman" w:hAnsi="Times New Roman" w:cs="David"/>
          <w:sz w:val="24"/>
          <w:szCs w:val="24"/>
          <w:rtl/>
        </w:rPr>
        <w:t>(פורסם במאגרים האלקטרוניים, 18.10.16) בו חויבו כל אחד מהצדדים בסך של 20,000 ₪ לטובת אוצר המדינה).</w:t>
      </w:r>
    </w:p>
    <w:p w:rsidR="00A032DB" w:rsidRDefault="00A032DB" w:rsidP="00A032DB">
      <w:pPr>
        <w:pStyle w:val="ad"/>
        <w:rPr>
          <w:rFonts w:ascii="Times New Roman" w:hAnsi="Times New Roman" w:cs="David"/>
          <w:b/>
          <w:bCs/>
          <w:sz w:val="24"/>
          <w:szCs w:val="24"/>
        </w:rPr>
      </w:pPr>
    </w:p>
    <w:p w:rsidR="00A032DB" w:rsidRDefault="00A032DB" w:rsidP="00A032DB">
      <w:pPr>
        <w:spacing w:line="360" w:lineRule="auto"/>
        <w:jc w:val="both"/>
        <w:rPr>
          <w:b/>
          <w:bCs/>
          <w:u w:val="single"/>
          <w:rtl/>
        </w:rPr>
      </w:pPr>
      <w:r>
        <w:rPr>
          <w:b/>
          <w:bCs/>
          <w:u w:val="single"/>
          <w:rtl/>
        </w:rPr>
        <w:t>ומן הדין לנדון</w:t>
      </w:r>
    </w:p>
    <w:p w:rsidR="00CF6F1B" w:rsidRDefault="00CF6F1B" w:rsidP="00A032DB">
      <w:pPr>
        <w:spacing w:line="360" w:lineRule="auto"/>
        <w:jc w:val="both"/>
        <w:rPr>
          <w:b/>
          <w:bCs/>
          <w:u w:val="single"/>
          <w:rtl/>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u w:val="single"/>
          <w:rtl/>
        </w:rPr>
        <w:t>כבר בפתח הדברים אומר, כי מצאתי שהוכח לפניי, שההסכם השני נערך למראית עין</w:t>
      </w:r>
      <w:r>
        <w:rPr>
          <w:rFonts w:ascii="Times New Roman" w:hAnsi="Times New Roman" w:cs="David"/>
          <w:sz w:val="24"/>
          <w:szCs w:val="24"/>
          <w:rtl/>
        </w:rPr>
        <w:t xml:space="preserve">; </w:t>
      </w:r>
    </w:p>
    <w:p w:rsidR="00A032DB" w:rsidRDefault="00A032DB" w:rsidP="00CF6F1B">
      <w:pPr>
        <w:pStyle w:val="ad"/>
        <w:spacing w:after="0" w:line="360" w:lineRule="auto"/>
        <w:jc w:val="both"/>
        <w:rPr>
          <w:rFonts w:ascii="Times New Roman" w:hAnsi="Times New Roman" w:cs="David"/>
          <w:b/>
          <w:bCs/>
          <w:i/>
          <w:iCs/>
          <w:sz w:val="24"/>
          <w:szCs w:val="24"/>
        </w:rPr>
      </w:pPr>
      <w:r>
        <w:rPr>
          <w:rFonts w:ascii="Times New Roman" w:hAnsi="Times New Roman" w:cs="David"/>
          <w:b/>
          <w:bCs/>
          <w:i/>
          <w:iCs/>
          <w:sz w:val="24"/>
          <w:szCs w:val="24"/>
          <w:rtl/>
        </w:rPr>
        <w:t xml:space="preserve">ודומה כי לא צריך להיות </w:t>
      </w:r>
      <w:r w:rsidR="00CF6F1B">
        <w:rPr>
          <w:rFonts w:ascii="Times New Roman" w:hAnsi="Times New Roman" w:cs="David" w:hint="cs"/>
          <w:b/>
          <w:bCs/>
          <w:i/>
          <w:iCs/>
          <w:sz w:val="24"/>
          <w:szCs w:val="24"/>
          <w:rtl/>
        </w:rPr>
        <w:t>ספק,</w:t>
      </w:r>
      <w:r>
        <w:rPr>
          <w:rFonts w:ascii="Times New Roman" w:hAnsi="Times New Roman" w:cs="David"/>
          <w:b/>
          <w:bCs/>
          <w:i/>
          <w:iCs/>
          <w:sz w:val="24"/>
          <w:szCs w:val="24"/>
          <w:rtl/>
        </w:rPr>
        <w:t xml:space="preserve"> </w:t>
      </w:r>
      <w:r w:rsidR="00CF6F1B">
        <w:rPr>
          <w:rFonts w:ascii="Times New Roman" w:hAnsi="Times New Roman" w:cs="David" w:hint="cs"/>
          <w:b/>
          <w:bCs/>
          <w:i/>
          <w:iCs/>
          <w:sz w:val="24"/>
          <w:szCs w:val="24"/>
          <w:rtl/>
        </w:rPr>
        <w:t>ש</w:t>
      </w:r>
      <w:r>
        <w:rPr>
          <w:rFonts w:ascii="Times New Roman" w:hAnsi="Times New Roman" w:cs="David"/>
          <w:b/>
          <w:bCs/>
          <w:i/>
          <w:iCs/>
          <w:sz w:val="24"/>
          <w:szCs w:val="24"/>
          <w:rtl/>
        </w:rPr>
        <w:t>הנסיבות לעריכתו מצערות בכל היבט - אנושי, ערכי ומוסרי.</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הוכח, כי התובע שחשש, כי הוא חשוף לתביעה, שתקבע את חבותו בנזקיו של מנהל העבודה שנהרג, נהג בהתאם לעצות שקיבל – ופעל במודע במטרה על מנת להבריח את הנכס המשמעותי שלו – מחצית זכויותיו בבית המגורים; והנתבעת, אשר אמנם ניזונה מדבריו, חששה אף היא, לרבות מכך שתפונה מהבית (חרף האמור בהסכם הגירושין) ועל כן שיתפה עמו פעולה.</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b/>
          <w:bCs/>
          <w:i/>
          <w:iCs/>
          <w:sz w:val="24"/>
          <w:szCs w:val="24"/>
          <w:rtl/>
        </w:rPr>
      </w:pPr>
      <w:r>
        <w:rPr>
          <w:rFonts w:ascii="Times New Roman" w:hAnsi="Times New Roman" w:cs="David"/>
          <w:b/>
          <w:bCs/>
          <w:i/>
          <w:iCs/>
          <w:sz w:val="24"/>
          <w:szCs w:val="24"/>
          <w:rtl/>
        </w:rPr>
        <w:t xml:space="preserve">באופן זה פעלו הצדדים, כל אחד ממניעיו וכל אחד באופן משתנה מבחינת היקף תרומתו, ונקטו במהלך שבמסגרתו נחתם ההסכם השני, הדואג להדרה כביכול של התובע מהחזקה בזכויות במקרקעין (מחצית) בבית המגורים, שלא מתוך החלטה להדרתו, אלא מתוך חשש מפני פגיעה בעתידם הכלכלי - כל אחד בראי זכויותיו בהתאם להסכם הגירושין שנחתם ביניהם. </w:t>
      </w:r>
    </w:p>
    <w:p w:rsidR="00A032DB" w:rsidRDefault="00A032DB" w:rsidP="00A032DB">
      <w:pPr>
        <w:pStyle w:val="ad"/>
        <w:rPr>
          <w:rFonts w:ascii="Times New Roman" w:hAnsi="Times New Roman" w:cs="David"/>
          <w:sz w:val="24"/>
          <w:szCs w:val="24"/>
        </w:rPr>
      </w:pPr>
    </w:p>
    <w:p w:rsidR="00A032DB" w:rsidRDefault="00A032DB" w:rsidP="00DB5447">
      <w:pPr>
        <w:pStyle w:val="ad"/>
        <w:numPr>
          <w:ilvl w:val="0"/>
          <w:numId w:val="1"/>
        </w:numPr>
        <w:spacing w:after="0" w:line="360" w:lineRule="auto"/>
        <w:jc w:val="both"/>
        <w:rPr>
          <w:rFonts w:ascii="Times New Roman" w:hAnsi="Times New Roman" w:cs="David"/>
          <w:sz w:val="24"/>
          <w:szCs w:val="24"/>
          <w:u w:val="single"/>
          <w:rtl/>
        </w:rPr>
      </w:pPr>
      <w:r>
        <w:rPr>
          <w:rFonts w:ascii="Times New Roman" w:hAnsi="Times New Roman" w:cs="David"/>
          <w:sz w:val="24"/>
          <w:szCs w:val="24"/>
          <w:rtl/>
        </w:rPr>
        <w:t xml:space="preserve">לביסוס תביעתו ועמידתו בנטל הראייה המוגבר, העידו מטעם התובע, בנוסף לעדותו, עו"ד </w:t>
      </w:r>
      <w:r w:rsidR="00DB5447">
        <w:rPr>
          <w:rFonts w:ascii="Times New Roman" w:hAnsi="Times New Roman" w:cs="David" w:hint="cs"/>
          <w:sz w:val="24"/>
          <w:szCs w:val="24"/>
          <w:rtl/>
        </w:rPr>
        <w:t>ג'</w:t>
      </w:r>
      <w:r>
        <w:rPr>
          <w:rFonts w:ascii="Times New Roman" w:hAnsi="Times New Roman" w:cs="David"/>
          <w:sz w:val="24"/>
          <w:szCs w:val="24"/>
          <w:rtl/>
        </w:rPr>
        <w:t>, שהינו עורך ההסכמים הניצבים בלב המחלוקת על המסמכים הנל</w:t>
      </w:r>
      <w:r w:rsidR="00366253">
        <w:rPr>
          <w:rFonts w:ascii="Times New Roman" w:hAnsi="Times New Roman" w:cs="David"/>
          <w:sz w:val="24"/>
          <w:szCs w:val="24"/>
          <w:rtl/>
        </w:rPr>
        <w:t>ווים להם, וכן עו"ד פ</w:t>
      </w:r>
      <w:r w:rsidR="00366253">
        <w:rPr>
          <w:rFonts w:ascii="Times New Roman" w:hAnsi="Times New Roman" w:cs="David" w:hint="cs"/>
          <w:sz w:val="24"/>
          <w:szCs w:val="24"/>
          <w:rtl/>
        </w:rPr>
        <w:t>'</w:t>
      </w:r>
      <w:r>
        <w:rPr>
          <w:rFonts w:ascii="Times New Roman" w:hAnsi="Times New Roman" w:cs="David"/>
          <w:sz w:val="24"/>
          <w:szCs w:val="24"/>
          <w:rtl/>
        </w:rPr>
        <w:t xml:space="preserve">, שעמו עבד התובע במספר עבודות שיפוצים. </w:t>
      </w:r>
    </w:p>
    <w:p w:rsidR="00A032DB" w:rsidRDefault="00A032DB" w:rsidP="002769AC">
      <w:pPr>
        <w:pStyle w:val="ad"/>
        <w:spacing w:after="0" w:line="360" w:lineRule="auto"/>
        <w:jc w:val="both"/>
        <w:rPr>
          <w:rFonts w:ascii="Times New Roman" w:hAnsi="Times New Roman" w:cs="David"/>
          <w:sz w:val="24"/>
          <w:szCs w:val="24"/>
          <w:u w:val="single"/>
          <w:rtl/>
        </w:rPr>
      </w:pPr>
      <w:r>
        <w:rPr>
          <w:rFonts w:ascii="Times New Roman" w:hAnsi="Times New Roman" w:cs="David"/>
          <w:b/>
          <w:bCs/>
          <w:sz w:val="24"/>
          <w:szCs w:val="24"/>
          <w:rtl/>
        </w:rPr>
        <w:lastRenderedPageBreak/>
        <w:t xml:space="preserve">למען הסדר הטוב יצוין, כי במסגרת שמיעת ההליך ע"י המותב הקודם, לא העיד עו"ד </w:t>
      </w:r>
      <w:r w:rsidR="00F31887">
        <w:rPr>
          <w:rFonts w:ascii="Times New Roman" w:hAnsi="Times New Roman" w:cs="David" w:hint="cs"/>
          <w:b/>
          <w:bCs/>
          <w:sz w:val="24"/>
          <w:szCs w:val="24"/>
          <w:rtl/>
        </w:rPr>
        <w:t>פ'</w:t>
      </w:r>
      <w:r>
        <w:rPr>
          <w:rFonts w:ascii="Times New Roman" w:hAnsi="Times New Roman" w:cs="David"/>
          <w:b/>
          <w:bCs/>
          <w:sz w:val="24"/>
          <w:szCs w:val="24"/>
          <w:rtl/>
        </w:rPr>
        <w:t xml:space="preserve"> מטעם התובע, כי אם התובע ועו"ד </w:t>
      </w:r>
      <w:r w:rsidR="002769AC">
        <w:rPr>
          <w:rFonts w:ascii="Times New Roman" w:hAnsi="Times New Roman" w:cs="David" w:hint="cs"/>
          <w:b/>
          <w:bCs/>
          <w:sz w:val="24"/>
          <w:szCs w:val="24"/>
          <w:rtl/>
        </w:rPr>
        <w:t>ג'</w:t>
      </w:r>
      <w:r>
        <w:rPr>
          <w:rFonts w:ascii="Times New Roman" w:hAnsi="Times New Roman" w:cs="David"/>
          <w:b/>
          <w:bCs/>
          <w:sz w:val="24"/>
          <w:szCs w:val="24"/>
          <w:rtl/>
        </w:rPr>
        <w:t xml:space="preserve"> בלבד. יודגש, כי עדות הנתבעת אף היא לא נשמעה לפני המותב הקודם והיא העידה לראשונה לפני מותב זה</w:t>
      </w:r>
      <w:r>
        <w:rPr>
          <w:rFonts w:ascii="Times New Roman" w:hAnsi="Times New Roman" w:cs="David"/>
          <w:sz w:val="24"/>
          <w:szCs w:val="24"/>
          <w:rtl/>
        </w:rPr>
        <w:t>.</w:t>
      </w:r>
    </w:p>
    <w:p w:rsidR="00A032DB" w:rsidRDefault="00A032DB" w:rsidP="00A032DB">
      <w:pPr>
        <w:pStyle w:val="ad"/>
        <w:rPr>
          <w:rFonts w:ascii="Times New Roman" w:hAnsi="Times New Roman" w:cs="David"/>
          <w:sz w:val="24"/>
          <w:szCs w:val="24"/>
        </w:rPr>
      </w:pPr>
    </w:p>
    <w:p w:rsidR="00A032DB" w:rsidRDefault="00A032DB" w:rsidP="002769AC">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עו"ד </w:t>
      </w:r>
      <w:r w:rsidR="002769AC">
        <w:rPr>
          <w:rFonts w:ascii="Times New Roman" w:hAnsi="Times New Roman" w:cs="David" w:hint="cs"/>
          <w:sz w:val="24"/>
          <w:szCs w:val="24"/>
          <w:rtl/>
        </w:rPr>
        <w:t>ג'</w:t>
      </w:r>
      <w:r>
        <w:rPr>
          <w:rFonts w:ascii="Times New Roman" w:hAnsi="Times New Roman" w:cs="David"/>
          <w:sz w:val="24"/>
          <w:szCs w:val="24"/>
          <w:rtl/>
        </w:rPr>
        <w:t xml:space="preserve"> העיד, כי, מחמת חששו של התובע מנושים, הוא ביקש להעביר את הזכויות בבית המגורים על שם הנתבעת, אך זאת </w:t>
      </w:r>
      <w:r>
        <w:rPr>
          <w:rFonts w:ascii="Times New Roman" w:hAnsi="Times New Roman" w:cs="David"/>
          <w:b/>
          <w:bCs/>
          <w:i/>
          <w:iCs/>
          <w:sz w:val="24"/>
          <w:szCs w:val="24"/>
          <w:rtl/>
        </w:rPr>
        <w:t>למראית עין בלבד</w:t>
      </w:r>
      <w:r>
        <w:rPr>
          <w:rFonts w:ascii="Times New Roman" w:hAnsi="Times New Roman" w:cs="David"/>
          <w:sz w:val="24"/>
          <w:szCs w:val="24"/>
          <w:rtl/>
        </w:rPr>
        <w:t xml:space="preserve">. במצב זה הוא ייעץ ובהתאם אף </w:t>
      </w:r>
      <w:r>
        <w:rPr>
          <w:rFonts w:ascii="Times New Roman" w:hAnsi="Times New Roman" w:cs="David"/>
          <w:b/>
          <w:bCs/>
          <w:i/>
          <w:iCs/>
          <w:sz w:val="24"/>
          <w:szCs w:val="24"/>
          <w:rtl/>
        </w:rPr>
        <w:t>הכין לצדדים שני הסכמים</w:t>
      </w:r>
      <w:r>
        <w:rPr>
          <w:rFonts w:ascii="Times New Roman" w:hAnsi="Times New Roman" w:cs="David"/>
          <w:sz w:val="24"/>
          <w:szCs w:val="24"/>
          <w:rtl/>
        </w:rPr>
        <w:t xml:space="preserve">, האחד הסכם למראית עין (ההסכם הנוסף, השני), אשר אושר וקיבל תוקף של פס"ד והסכם אחר המשקף את רצונם לאשורו (ההסכם השלישי). עוד עלה מעדותו, כי </w:t>
      </w:r>
      <w:r>
        <w:rPr>
          <w:rFonts w:ascii="David" w:hAnsi="David" w:cs="David"/>
          <w:b/>
          <w:bCs/>
          <w:sz w:val="24"/>
          <w:szCs w:val="24"/>
          <w:rtl/>
        </w:rPr>
        <w:t>כְּ</w:t>
      </w:r>
      <w:r>
        <w:rPr>
          <w:rFonts w:ascii="Times New Roman" w:hAnsi="Times New Roman" w:cs="David"/>
          <w:b/>
          <w:bCs/>
          <w:sz w:val="24"/>
          <w:szCs w:val="24"/>
          <w:rtl/>
        </w:rPr>
        <w:t>מסמכים המשלימים</w:t>
      </w:r>
      <w:r>
        <w:rPr>
          <w:rFonts w:ascii="Times New Roman" w:hAnsi="Times New Roman" w:cs="David"/>
          <w:sz w:val="24"/>
          <w:szCs w:val="24"/>
          <w:rtl/>
        </w:rPr>
        <w:t xml:space="preserve"> את כוונת הצדדים האמיתית המשתקפת בהסכם השני הוא הכין, בנוסף, </w:t>
      </w:r>
      <w:r>
        <w:rPr>
          <w:rFonts w:ascii="Times New Roman" w:hAnsi="Times New Roman" w:cs="David"/>
          <w:b/>
          <w:bCs/>
          <w:i/>
          <w:iCs/>
          <w:sz w:val="24"/>
          <w:szCs w:val="24"/>
          <w:rtl/>
        </w:rPr>
        <w:t>שטר חוב וצוואה עבור הנתבעת</w:t>
      </w:r>
      <w:r>
        <w:rPr>
          <w:rFonts w:ascii="Times New Roman" w:hAnsi="Times New Roman" w:cs="David"/>
          <w:sz w:val="24"/>
          <w:szCs w:val="24"/>
          <w:rtl/>
        </w:rPr>
        <w:t xml:space="preserve"> (ר' עמ' 41 לפרוט' ש' 14-20; עמ' 44 ש' 21-28; עמ' 46 ש' 6-9; עמ' 48 ש' 15-16).</w:t>
      </w:r>
    </w:p>
    <w:p w:rsidR="00A032DB" w:rsidRDefault="00A032DB" w:rsidP="00A032DB">
      <w:pPr>
        <w:pStyle w:val="ad"/>
        <w:rPr>
          <w:rFonts w:ascii="Times New Roman" w:hAnsi="Times New Roman" w:cs="David"/>
          <w:sz w:val="24"/>
          <w:szCs w:val="24"/>
        </w:rPr>
      </w:pPr>
    </w:p>
    <w:p w:rsidR="00A032DB" w:rsidRDefault="00A032DB" w:rsidP="00300FB9">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עו"ד </w:t>
      </w:r>
      <w:r w:rsidR="00300FB9">
        <w:rPr>
          <w:rFonts w:ascii="Times New Roman" w:hAnsi="Times New Roman" w:cs="David" w:hint="cs"/>
          <w:sz w:val="24"/>
          <w:szCs w:val="24"/>
          <w:rtl/>
        </w:rPr>
        <w:t>ג'</w:t>
      </w:r>
      <w:r>
        <w:rPr>
          <w:rFonts w:ascii="Times New Roman" w:hAnsi="Times New Roman" w:cs="David"/>
          <w:sz w:val="24"/>
          <w:szCs w:val="24"/>
          <w:rtl/>
        </w:rPr>
        <w:t xml:space="preserve"> הוסיף והעיד, כי </w:t>
      </w:r>
      <w:r>
        <w:rPr>
          <w:rFonts w:ascii="Times New Roman" w:hAnsi="Times New Roman" w:cs="David"/>
          <w:sz w:val="24"/>
          <w:szCs w:val="24"/>
          <w:u w:val="single"/>
          <w:rtl/>
        </w:rPr>
        <w:t>הגם שהתובע היה זה שפנה אליו לראשונה,</w:t>
      </w:r>
      <w:r>
        <w:rPr>
          <w:rFonts w:ascii="Times New Roman" w:hAnsi="Times New Roman" w:cs="David"/>
          <w:sz w:val="24"/>
          <w:szCs w:val="24"/>
          <w:rtl/>
        </w:rPr>
        <w:t xml:space="preserve"> </w:t>
      </w:r>
      <w:r>
        <w:rPr>
          <w:rFonts w:ascii="Times New Roman" w:hAnsi="Times New Roman" w:cs="David"/>
          <w:sz w:val="24"/>
          <w:szCs w:val="24"/>
          <w:u w:val="single"/>
          <w:rtl/>
        </w:rPr>
        <w:t>הנתבעת היתה שותפה לכך, מעורבת והבינה את אשר נעשה</w:t>
      </w:r>
      <w:r>
        <w:rPr>
          <w:rFonts w:ascii="Times New Roman" w:hAnsi="Times New Roman" w:cs="David"/>
          <w:sz w:val="24"/>
          <w:szCs w:val="24"/>
          <w:rtl/>
        </w:rPr>
        <w:t xml:space="preserve">:  </w:t>
      </w:r>
      <w:r>
        <w:rPr>
          <w:rFonts w:ascii="David" w:hAnsi="David" w:cs="David"/>
          <w:b/>
          <w:bCs/>
          <w:i/>
          <w:iCs/>
          <w:rtl/>
        </w:rPr>
        <w:t xml:space="preserve">"זה דומה לשני שותפים שבאים לעורך דין, אחד מהם הוא הדומיננטי ונמצא בקשר עם עורך הדין והשני מגיע וחותם. אין לי ספק שהנתבעת הבינה על מה היא חותמת, ידעה, הייתה שותפה לכל המו"מ, היא ביקשה לשנות דברים בהסכם, נדמה לי שאפילו היא התייעצה אבל אני לא בטוח בזה אבל אין לי ספק שהבינה את כל מה שנעשה, הבינה שאנחנו עושים משהו טריקי והייתה שותפה לזה. אין לי ספק בזה. לא הייתה שום הצדקה שהאדון הנכבד החליט יום בהיר אחד לתת לה חצי דירה. לא הייתה סיבה שהיא  תחתום על שטר חוב ועל צוואה. מה שהיא כתבה בתצהיר שכאילו איימתי עליה, זה הרתיח לי את הדם זה פשוט לא נכון. אפשר להתווכח משפטית האם זה תקף או לא.  עובדתית הם באו שניהם ורצו  לעשות הסכם למראית עין ועל זה אני חותם. " </w:t>
      </w:r>
      <w:r>
        <w:rPr>
          <w:rFonts w:ascii="David" w:hAnsi="David" w:cs="David"/>
          <w:sz w:val="24"/>
          <w:szCs w:val="24"/>
          <w:rtl/>
        </w:rPr>
        <w:t>(עמ' 42 לפרוט' ש' 20-28).</w:t>
      </w:r>
    </w:p>
    <w:p w:rsidR="00A032DB" w:rsidRDefault="00A032DB" w:rsidP="00A032DB">
      <w:pPr>
        <w:pStyle w:val="ad"/>
        <w:rPr>
          <w:rFonts w:ascii="Times New Roman" w:hAnsi="Times New Roman" w:cs="David"/>
          <w:sz w:val="24"/>
          <w:szCs w:val="24"/>
          <w:rtl/>
        </w:rPr>
      </w:pPr>
    </w:p>
    <w:p w:rsidR="00A032DB" w:rsidRDefault="00A032DB" w:rsidP="009E3E56">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לא נעלמה מעיני העובדה, כי עו"ד </w:t>
      </w:r>
      <w:r w:rsidR="009E3E56">
        <w:rPr>
          <w:rFonts w:ascii="Times New Roman" w:hAnsi="Times New Roman" w:cs="David" w:hint="cs"/>
          <w:sz w:val="24"/>
          <w:szCs w:val="24"/>
          <w:rtl/>
        </w:rPr>
        <w:t>ג'</w:t>
      </w:r>
      <w:r>
        <w:rPr>
          <w:rFonts w:ascii="Times New Roman" w:hAnsi="Times New Roman" w:cs="David"/>
          <w:sz w:val="24"/>
          <w:szCs w:val="24"/>
          <w:rtl/>
        </w:rPr>
        <w:t xml:space="preserve"> העיד בשנית בעניין הליך זה, בשעה שעדותו נשמעה לראשונה בשנת 2015 לפני כב' המותב הקודם; כך גם לא נעלמה מעיני אופן התייחסותו של המותב הקודם לעדותו של עו"ד </w:t>
      </w:r>
      <w:r w:rsidR="009E3E56">
        <w:rPr>
          <w:rFonts w:ascii="Times New Roman" w:hAnsi="Times New Roman" w:cs="David" w:hint="cs"/>
          <w:sz w:val="24"/>
          <w:szCs w:val="24"/>
          <w:rtl/>
        </w:rPr>
        <w:t>ג'</w:t>
      </w:r>
      <w:r>
        <w:rPr>
          <w:rFonts w:ascii="Times New Roman" w:hAnsi="Times New Roman" w:cs="David"/>
          <w:sz w:val="24"/>
          <w:szCs w:val="24"/>
          <w:rtl/>
        </w:rPr>
        <w:t xml:space="preserve">, לרבות לאמור בפסה"ד שניתן (ס' </w:t>
      </w:r>
      <w:r>
        <w:rPr>
          <w:rFonts w:ascii="Times New Roman" w:hAnsi="Times New Roman" w:cs="David"/>
          <w:sz w:val="24"/>
          <w:szCs w:val="24"/>
        </w:rPr>
        <w:t xml:space="preserve"> </w:t>
      </w:r>
      <w:r>
        <w:rPr>
          <w:rFonts w:ascii="Times New Roman" w:hAnsi="Times New Roman" w:cs="David"/>
          <w:sz w:val="24"/>
          <w:szCs w:val="24"/>
          <w:rtl/>
        </w:rPr>
        <w:t>36) בדבר היות התנהלותו מערערת את אמינותו.</w:t>
      </w:r>
    </w:p>
    <w:p w:rsidR="00A032DB" w:rsidRDefault="00A032DB" w:rsidP="00A032DB">
      <w:pPr>
        <w:pStyle w:val="ad"/>
        <w:spacing w:after="0" w:line="360" w:lineRule="auto"/>
        <w:jc w:val="both"/>
        <w:rPr>
          <w:rFonts w:ascii="Times New Roman" w:hAnsi="Times New Roman" w:cs="David"/>
          <w:sz w:val="24"/>
          <w:szCs w:val="24"/>
        </w:rPr>
      </w:pPr>
    </w:p>
    <w:p w:rsidR="00A032DB" w:rsidRDefault="00A032DB" w:rsidP="00646066">
      <w:pPr>
        <w:pStyle w:val="ad"/>
        <w:numPr>
          <w:ilvl w:val="0"/>
          <w:numId w:val="1"/>
        </w:numPr>
        <w:spacing w:after="0" w:line="360" w:lineRule="auto"/>
        <w:jc w:val="both"/>
        <w:rPr>
          <w:rFonts w:ascii="Times New Roman" w:hAnsi="Times New Roman" w:cs="David"/>
          <w:sz w:val="24"/>
          <w:szCs w:val="24"/>
        </w:rPr>
      </w:pPr>
      <w:r>
        <w:rPr>
          <w:rFonts w:ascii="Times New Roman" w:hAnsi="Times New Roman" w:cs="David"/>
          <w:sz w:val="24"/>
          <w:szCs w:val="24"/>
          <w:rtl/>
        </w:rPr>
        <w:t xml:space="preserve">ברם, חרף מורת הרוח הלא מבוטלת (על דרך ההמעטה) שמעורר פועלו של עו"ד </w:t>
      </w:r>
      <w:r w:rsidR="00646066">
        <w:rPr>
          <w:rFonts w:ascii="Times New Roman" w:hAnsi="Times New Roman" w:cs="David" w:hint="cs"/>
          <w:sz w:val="24"/>
          <w:szCs w:val="24"/>
          <w:rtl/>
        </w:rPr>
        <w:t>ג'</w:t>
      </w:r>
      <w:r>
        <w:rPr>
          <w:rFonts w:ascii="Times New Roman" w:hAnsi="Times New Roman" w:cs="David"/>
          <w:sz w:val="24"/>
          <w:szCs w:val="24"/>
          <w:rtl/>
        </w:rPr>
        <w:t xml:space="preserve">, בפרט מתוקף תפקידו כעו"ד, מצאתי ליתן אמון בעדותו. התרשמתי, כי הוא העיד בגילוי לב על הנעשה, מבלי להסתיר את העובדה, כי הוא מבין שמדובר במעשה בלתי נאות (ושוב על דרך ההמעטה) שעליו הוא מצר ביותר (עמ' 45 לפרוט', ש' 4-5). </w:t>
      </w:r>
    </w:p>
    <w:p w:rsidR="00A032DB" w:rsidRDefault="00A032DB" w:rsidP="00A032DB">
      <w:pPr>
        <w:pStyle w:val="ad"/>
        <w:rPr>
          <w:rFonts w:ascii="Times New Roman" w:hAnsi="Times New Roman" w:cs="David"/>
          <w:sz w:val="24"/>
          <w:szCs w:val="24"/>
        </w:rPr>
      </w:pPr>
    </w:p>
    <w:p w:rsidR="00A032DB" w:rsidRDefault="00A032DB" w:rsidP="00CC6E77">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סבורתני, כי משנשמע התיק מחדש, בהתאם להנחיית ערכאת הערעור, לא נפקד רכיב ההתרשמות הבלתי אמצעית המסור לערכאה המבררת גם ממותב זה, תוך שקלול ייחודו של </w:t>
      </w:r>
      <w:r>
        <w:rPr>
          <w:rFonts w:ascii="Times New Roman" w:hAnsi="Times New Roman" w:cs="David"/>
          <w:sz w:val="24"/>
          <w:szCs w:val="24"/>
          <w:rtl/>
        </w:rPr>
        <w:lastRenderedPageBreak/>
        <w:t xml:space="preserve">אופן שמיעתו של ההליך בשנית, למצער בהתייחס לעדות התובע ועו"ד </w:t>
      </w:r>
      <w:r w:rsidR="00CC6E77">
        <w:rPr>
          <w:rFonts w:ascii="Times New Roman" w:hAnsi="Times New Roman" w:cs="David" w:hint="cs"/>
          <w:sz w:val="24"/>
          <w:szCs w:val="24"/>
          <w:rtl/>
        </w:rPr>
        <w:t>ג'</w:t>
      </w:r>
      <w:r>
        <w:rPr>
          <w:rFonts w:ascii="Times New Roman" w:hAnsi="Times New Roman" w:cs="David"/>
          <w:sz w:val="24"/>
          <w:szCs w:val="24"/>
          <w:rtl/>
        </w:rPr>
        <w:t xml:space="preserve"> (כמתואר לעיל); לכך אוסיף על דרך הזהירות המתחייבת, כי העובדה שתוכן עדותו של עו"ד </w:t>
      </w:r>
      <w:r w:rsidR="00646066">
        <w:rPr>
          <w:rFonts w:ascii="Times New Roman" w:hAnsi="Times New Roman" w:cs="David" w:hint="cs"/>
          <w:sz w:val="24"/>
          <w:szCs w:val="24"/>
          <w:rtl/>
        </w:rPr>
        <w:t>ג'</w:t>
      </w:r>
      <w:r>
        <w:rPr>
          <w:rFonts w:ascii="Times New Roman" w:hAnsi="Times New Roman" w:cs="David"/>
          <w:sz w:val="24"/>
          <w:szCs w:val="24"/>
          <w:rtl/>
        </w:rPr>
        <w:t xml:space="preserve"> לפני בית משפט וביתר שאת מתוקף תפקידו כעו"ד, חותר תחת האינטרס האישי והמקצועי שלו, יש בה לטעמי כדי לחזקה ולהוסיף למהימנותו.</w:t>
      </w:r>
    </w:p>
    <w:p w:rsidR="00A032DB" w:rsidRDefault="00A032DB" w:rsidP="00A032DB">
      <w:pPr>
        <w:pStyle w:val="ad"/>
        <w:spacing w:after="0" w:line="360" w:lineRule="auto"/>
        <w:jc w:val="both"/>
        <w:rPr>
          <w:rFonts w:ascii="Times New Roman" w:hAnsi="Times New Roman" w:cs="David"/>
          <w:sz w:val="24"/>
          <w:szCs w:val="24"/>
        </w:rPr>
      </w:pPr>
    </w:p>
    <w:p w:rsidR="00A032DB" w:rsidRDefault="00A032DB" w:rsidP="00CA1828">
      <w:pPr>
        <w:pStyle w:val="ad"/>
        <w:numPr>
          <w:ilvl w:val="0"/>
          <w:numId w:val="1"/>
        </w:numPr>
        <w:spacing w:after="0" w:line="360" w:lineRule="auto"/>
        <w:jc w:val="both"/>
        <w:rPr>
          <w:rFonts w:ascii="Times New Roman" w:hAnsi="Times New Roman" w:cs="David"/>
          <w:sz w:val="24"/>
          <w:szCs w:val="24"/>
        </w:rPr>
      </w:pPr>
      <w:r>
        <w:rPr>
          <w:rFonts w:ascii="Times New Roman" w:hAnsi="Times New Roman" w:cs="David"/>
          <w:sz w:val="24"/>
          <w:szCs w:val="24"/>
          <w:rtl/>
        </w:rPr>
        <w:t xml:space="preserve">עוד העיד מטעם התובע עו"ד </w:t>
      </w:r>
      <w:r w:rsidR="00CA1828">
        <w:rPr>
          <w:rFonts w:ascii="Times New Roman" w:hAnsi="Times New Roman" w:cs="David" w:hint="cs"/>
          <w:sz w:val="24"/>
          <w:szCs w:val="24"/>
          <w:rtl/>
        </w:rPr>
        <w:t>פ'</w:t>
      </w:r>
      <w:r>
        <w:rPr>
          <w:rFonts w:ascii="Times New Roman" w:hAnsi="Times New Roman" w:cs="David"/>
          <w:sz w:val="24"/>
          <w:szCs w:val="24"/>
          <w:rtl/>
        </w:rPr>
        <w:t>; מעדותו עלה, כי הוא היה נוכח  יחד עם התוב</w:t>
      </w:r>
      <w:r w:rsidR="00E87E46">
        <w:rPr>
          <w:rFonts w:ascii="Times New Roman" w:hAnsi="Times New Roman" w:cs="David"/>
          <w:sz w:val="24"/>
          <w:szCs w:val="24"/>
          <w:rtl/>
        </w:rPr>
        <w:t xml:space="preserve">ע בפגישה שנערכה עם עו"ד בשם </w:t>
      </w:r>
      <w:r w:rsidR="00E87E46">
        <w:rPr>
          <w:rFonts w:ascii="Times New Roman" w:hAnsi="Times New Roman" w:cs="David" w:hint="cs"/>
          <w:sz w:val="24"/>
          <w:szCs w:val="24"/>
          <w:rtl/>
        </w:rPr>
        <w:t>ט'</w:t>
      </w:r>
      <w:r>
        <w:rPr>
          <w:rFonts w:ascii="Times New Roman" w:hAnsi="Times New Roman" w:cs="David"/>
          <w:sz w:val="24"/>
          <w:szCs w:val="24"/>
          <w:rtl/>
        </w:rPr>
        <w:t>, אשר במהלכה הוא הסביר, כי מאחר ודווח ע"י המעסיק של הקבלן שנפטר, כי התובע הוא מעסיקו אזי התובע חשוף לתביעה נזיקית והוא ממליץ לו להעביר כל נכס הרשום על שמו לידי צדדים שלישיים.</w:t>
      </w:r>
    </w:p>
    <w:p w:rsidR="00A032DB" w:rsidRDefault="00A032DB" w:rsidP="00A032DB">
      <w:pPr>
        <w:pStyle w:val="ad"/>
        <w:rPr>
          <w:rFonts w:ascii="Times New Roman" w:hAnsi="Times New Roman" w:cs="David"/>
          <w:sz w:val="24"/>
          <w:szCs w:val="24"/>
        </w:rPr>
      </w:pPr>
    </w:p>
    <w:p w:rsidR="00A032DB" w:rsidRDefault="00A032DB" w:rsidP="00CA1828">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ביחס לנתבעת - העיד עו"ד </w:t>
      </w:r>
      <w:r w:rsidR="00CA1828">
        <w:rPr>
          <w:rFonts w:ascii="Times New Roman" w:hAnsi="Times New Roman" w:cs="David" w:hint="cs"/>
          <w:sz w:val="24"/>
          <w:szCs w:val="24"/>
          <w:rtl/>
        </w:rPr>
        <w:t>פ'</w:t>
      </w:r>
      <w:r>
        <w:rPr>
          <w:rFonts w:ascii="Times New Roman" w:hAnsi="Times New Roman" w:cs="David"/>
          <w:sz w:val="24"/>
          <w:szCs w:val="24"/>
          <w:rtl/>
        </w:rPr>
        <w:t>, כי התובע והוא הסבירו לה את החשש בדבר הגשת תביעה כנגד התובע וכי עפ"י התסריט הקיצוני ביותר עלולים להוציא את הבית למכירה והיא תאלץ לחפש דיור חלופי, הגם שהזכויות שלה שמורות כי יש לה הסכם בכל מקרה; כן ציין כי לא פעל כעו"ד אלא כחבר של שני הצדדים (עמ' 51 לפרוט', ש' 12-14, ש' 24-25).</w:t>
      </w:r>
    </w:p>
    <w:p w:rsidR="00A032DB" w:rsidRDefault="00A032DB" w:rsidP="00A032DB">
      <w:pPr>
        <w:pStyle w:val="ad"/>
        <w:rPr>
          <w:rFonts w:ascii="Times New Roman" w:hAnsi="Times New Roman" w:cs="David"/>
          <w:sz w:val="24"/>
          <w:szCs w:val="24"/>
        </w:rPr>
      </w:pPr>
    </w:p>
    <w:p w:rsidR="00A032DB" w:rsidRDefault="00A032DB" w:rsidP="00CA1828">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מבלי להתעלם מקשרי החברות שבין התובע לעו"ד </w:t>
      </w:r>
      <w:r w:rsidR="00CA1828">
        <w:rPr>
          <w:rFonts w:ascii="Times New Roman" w:hAnsi="Times New Roman" w:cs="David" w:hint="cs"/>
          <w:sz w:val="24"/>
          <w:szCs w:val="24"/>
          <w:rtl/>
        </w:rPr>
        <w:t>פ'</w:t>
      </w:r>
      <w:r>
        <w:rPr>
          <w:rFonts w:ascii="Times New Roman" w:hAnsi="Times New Roman" w:cs="David"/>
          <w:sz w:val="24"/>
          <w:szCs w:val="24"/>
          <w:rtl/>
        </w:rPr>
        <w:t>, אשר הובאו לפניי בעדויות שני</w:t>
      </w:r>
      <w:r w:rsidR="00F36505">
        <w:rPr>
          <w:rFonts w:ascii="Times New Roman" w:hAnsi="Times New Roman" w:cs="David"/>
          <w:sz w:val="24"/>
          <w:szCs w:val="24"/>
          <w:rtl/>
        </w:rPr>
        <w:t xml:space="preserve">הם, מצאתי את עדותו של עו"ד </w:t>
      </w:r>
      <w:r w:rsidR="00F36505">
        <w:rPr>
          <w:rFonts w:ascii="Times New Roman" w:hAnsi="Times New Roman" w:cs="David" w:hint="cs"/>
          <w:sz w:val="24"/>
          <w:szCs w:val="24"/>
          <w:rtl/>
        </w:rPr>
        <w:t>פ'</w:t>
      </w:r>
      <w:r>
        <w:rPr>
          <w:rFonts w:ascii="Times New Roman" w:hAnsi="Times New Roman" w:cs="David"/>
          <w:sz w:val="24"/>
          <w:szCs w:val="24"/>
          <w:rtl/>
        </w:rPr>
        <w:t xml:space="preserve"> כאותנטית וכמתיישבת עם כלל הנסיבות. כאשר, בין היתר, בהיותו שותפו העסקי ומכר של שני הצדדים, שיתף אותו התובע שיתף במתרחש ואף נעזר בו, לרבות על דרך פנייה לנתבעת. </w:t>
      </w:r>
    </w:p>
    <w:p w:rsidR="00A032DB" w:rsidRDefault="00A032DB" w:rsidP="00A032DB">
      <w:pPr>
        <w:spacing w:line="360" w:lineRule="auto"/>
        <w:jc w:val="both"/>
      </w:pPr>
      <w:r>
        <w:rPr>
          <w:rtl/>
        </w:rPr>
        <w:t xml:space="preserve"> </w:t>
      </w:r>
    </w:p>
    <w:p w:rsidR="00A032DB" w:rsidRDefault="00A032DB" w:rsidP="00A032DB">
      <w:pPr>
        <w:pStyle w:val="ad"/>
        <w:numPr>
          <w:ilvl w:val="0"/>
          <w:numId w:val="1"/>
        </w:numPr>
        <w:spacing w:after="0" w:line="360" w:lineRule="auto"/>
        <w:jc w:val="both"/>
        <w:rPr>
          <w:rFonts w:ascii="Times New Roman" w:hAnsi="Times New Roman" w:cs="David"/>
          <w:sz w:val="24"/>
          <w:szCs w:val="24"/>
        </w:rPr>
      </w:pPr>
      <w:r>
        <w:rPr>
          <w:rFonts w:ascii="Times New Roman" w:hAnsi="Times New Roman" w:cs="David"/>
          <w:sz w:val="24"/>
          <w:szCs w:val="24"/>
          <w:rtl/>
        </w:rPr>
        <w:t xml:space="preserve">הוכח, כי, התובע מילא חלק אקטיבי ניכר במהלך הכנת ההסכם השני ובהוצאתו מן הכוח אל הפועל, וכי היה הגורם המניע והעיקרי לכך; לצד זאת, אף הוכח, כי הנתבעת פעלה מתוך מודעות לפעולותיה כשמניעיה עמה, ושיתפה עמו פעולה. </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b/>
          <w:bCs/>
          <w:i/>
          <w:iCs/>
          <w:sz w:val="24"/>
          <w:szCs w:val="24"/>
          <w:u w:val="single"/>
          <w:rtl/>
        </w:rPr>
        <w:t>פועלם</w:t>
      </w:r>
      <w:r>
        <w:rPr>
          <w:rFonts w:ascii="Times New Roman" w:hAnsi="Times New Roman" w:cs="David"/>
          <w:b/>
          <w:bCs/>
          <w:i/>
          <w:iCs/>
          <w:sz w:val="24"/>
          <w:szCs w:val="24"/>
          <w:rtl/>
        </w:rPr>
        <w:t xml:space="preserve"> של השניים לקידום המהלך במישור היחסים ביניהם, לרבות על דרך הכנת ההסכם השני ופנייה לקבלת גושפנקא שיפוטית ע"י מתן תוקף פס"ד, </w:t>
      </w:r>
      <w:r>
        <w:rPr>
          <w:rFonts w:ascii="Times New Roman" w:hAnsi="Times New Roman" w:cs="David"/>
          <w:b/>
          <w:bCs/>
          <w:i/>
          <w:iCs/>
          <w:sz w:val="24"/>
          <w:szCs w:val="24"/>
          <w:u w:val="single"/>
          <w:rtl/>
        </w:rPr>
        <w:t>יש בו כדי</w:t>
      </w:r>
      <w:r>
        <w:rPr>
          <w:rFonts w:ascii="Times New Roman" w:hAnsi="Times New Roman" w:cs="David"/>
          <w:b/>
          <w:bCs/>
          <w:i/>
          <w:iCs/>
          <w:sz w:val="24"/>
          <w:szCs w:val="24"/>
          <w:rtl/>
        </w:rPr>
        <w:t xml:space="preserve"> </w:t>
      </w:r>
      <w:r>
        <w:rPr>
          <w:rFonts w:ascii="Times New Roman" w:hAnsi="Times New Roman" w:cs="David"/>
          <w:b/>
          <w:bCs/>
          <w:i/>
          <w:iCs/>
          <w:sz w:val="24"/>
          <w:szCs w:val="24"/>
          <w:u w:val="single"/>
          <w:rtl/>
        </w:rPr>
        <w:t>לחתור תחת כל אבני היסוד של התנהלות אנושית ערכית ראויה בחברה מתוקנת -בכל היבט אפשר</w:t>
      </w:r>
      <w:r>
        <w:rPr>
          <w:rFonts w:ascii="Times New Roman" w:hAnsi="Times New Roman" w:cs="David"/>
          <w:b/>
          <w:bCs/>
          <w:i/>
          <w:iCs/>
          <w:sz w:val="24"/>
          <w:szCs w:val="24"/>
          <w:rtl/>
        </w:rPr>
        <w:t>י</w:t>
      </w:r>
      <w:r>
        <w:rPr>
          <w:rFonts w:ascii="Times New Roman" w:hAnsi="Times New Roman" w:cs="David"/>
          <w:sz w:val="24"/>
          <w:szCs w:val="24"/>
          <w:rtl/>
        </w:rPr>
        <w:t>, כל זאת וביתר שאת ככל וחלילה היה הדבר עומד לרועץ למשפחתו השכולה של מנהל העבודה ומונע ממנה לקבל את כספיה, היה וביהמ"ש בהליך שם היה קובע את חבותו בנזיקין של התובע דכאן.</w:t>
      </w:r>
      <w:r>
        <w:rPr>
          <w:rFonts w:ascii="Times New Roman" w:hAnsi="Times New Roman" w:cs="Guttman Yad-Brush" w:hint="cs"/>
          <w:sz w:val="24"/>
          <w:szCs w:val="24"/>
          <w:rtl/>
        </w:rPr>
        <w:t xml:space="preserve"> </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באופן בלתי ראוי זה (על דרך המעטה) ביקשו להבטיח, כל אחד ממניעיו, כי, ככל ויתממש חששו של התובע בדבר קביעת חבותו בנזקי מנהל העבודה בהליך שינוהל, לא ניתן יהיה להיפרע מחלקו בבית מגורי הצדדים ובה בעת לא ניתן יהא לפעול לצורך פינוי הנתבעת מבית </w:t>
      </w:r>
      <w:r>
        <w:rPr>
          <w:rFonts w:ascii="Times New Roman" w:hAnsi="Times New Roman" w:cs="David"/>
          <w:sz w:val="24"/>
          <w:szCs w:val="24"/>
          <w:rtl/>
        </w:rPr>
        <w:lastRenderedPageBreak/>
        <w:t>המגורים עד הגיע אחרון ילדיהם המשותף של הצדדים לגיל 18 כפי שקבע הסכם הגירושין עליו חתמו לכתחילה מספר שנים קודם (זאת מבלי להביע עמדה אשר להיתכנות הביצוע בראי הליכים משפטיים, אלא בראי סברתם וחששם של הצדדים).</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טוען, כאמור, התובע, כי יש לסווג את ההסכם המתוקן (ההסכם השני) כחוזה למראית עין שדינו בטלות. מנגד טוענת הנתבעת, כי ההסכם השני הוא ההסכם השריר והקיים ואין מקום לבטלו, בהיותו ההסכם המשקף נכונה את כוונת הצדדים, בשמירה על החזקת הנתבעת בבית המגורים והבטחת זכויות ילדי הצדדים באמצעות בית המגורים.  </w:t>
      </w:r>
    </w:p>
    <w:p w:rsidR="00A032DB" w:rsidRDefault="00A032DB" w:rsidP="00A032DB">
      <w:pPr>
        <w:pStyle w:val="ad"/>
        <w:rPr>
          <w:rFonts w:ascii="Times New Roman" w:hAnsi="Times New Roman" w:cs="David"/>
          <w:sz w:val="24"/>
          <w:szCs w:val="24"/>
          <w:u w:val="single"/>
        </w:rPr>
      </w:pPr>
    </w:p>
    <w:p w:rsidR="00A032DB" w:rsidRDefault="00A032DB" w:rsidP="00A032DB">
      <w:pPr>
        <w:pStyle w:val="ad"/>
        <w:numPr>
          <w:ilvl w:val="0"/>
          <w:numId w:val="1"/>
        </w:numPr>
        <w:spacing w:after="0" w:line="360" w:lineRule="auto"/>
        <w:jc w:val="both"/>
        <w:rPr>
          <w:rFonts w:ascii="Times New Roman" w:hAnsi="Times New Roman" w:cs="David"/>
          <w:sz w:val="24"/>
          <w:szCs w:val="24"/>
          <w:u w:val="single"/>
          <w:rtl/>
        </w:rPr>
      </w:pPr>
      <w:r>
        <w:rPr>
          <w:rFonts w:ascii="Times New Roman" w:hAnsi="Times New Roman" w:cs="David"/>
          <w:sz w:val="24"/>
          <w:szCs w:val="24"/>
          <w:u w:val="single"/>
          <w:rtl/>
        </w:rPr>
        <w:t>למען הסדר הטוב יצוין, כי בית המגורים עודנו רשום בחלקים שווים ע"ש שני הצדדים</w:t>
      </w:r>
      <w:r>
        <w:rPr>
          <w:rFonts w:ascii="Times New Roman" w:hAnsi="Times New Roman" w:cs="David"/>
          <w:sz w:val="24"/>
          <w:szCs w:val="24"/>
          <w:rtl/>
        </w:rPr>
        <w:t xml:space="preserve"> (עמ' 62 לפרוט' ש' 9-11). בהקשר זה הצהירה הנתבעת בדיון שנערך ביום 17.5.18 לפני כב' השופט אליאס, כי היא לא השלימה את רישום הזכויות מאחר ונדרשה חתימה של התובע והלה סרב לחתום (עמ' 34 לפרוט' ש' 22-23).</w:t>
      </w:r>
    </w:p>
    <w:p w:rsidR="00A032DB" w:rsidRDefault="00A032DB" w:rsidP="00A032DB">
      <w:pPr>
        <w:pStyle w:val="ad"/>
        <w:rPr>
          <w:rFonts w:ascii="Times New Roman" w:hAnsi="Times New Roman" w:cs="David"/>
          <w:sz w:val="24"/>
          <w:szCs w:val="24"/>
          <w:u w:val="single"/>
        </w:rPr>
      </w:pPr>
    </w:p>
    <w:p w:rsidR="00A032DB" w:rsidRDefault="00A032DB" w:rsidP="00B52243">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יש לציין, כי התובע</w:t>
      </w:r>
      <w:r w:rsidR="000415C6">
        <w:rPr>
          <w:rFonts w:ascii="Times New Roman" w:hAnsi="Times New Roman" w:cs="David"/>
          <w:sz w:val="24"/>
          <w:szCs w:val="24"/>
          <w:rtl/>
        </w:rPr>
        <w:t xml:space="preserve"> בחר שלא לזמן את עו"ד </w:t>
      </w:r>
      <w:r w:rsidR="000415C6">
        <w:rPr>
          <w:rFonts w:ascii="Times New Roman" w:hAnsi="Times New Roman" w:cs="David" w:hint="cs"/>
          <w:sz w:val="24"/>
          <w:szCs w:val="24"/>
          <w:rtl/>
        </w:rPr>
        <w:t>ט'</w:t>
      </w:r>
      <w:r>
        <w:rPr>
          <w:rFonts w:ascii="Times New Roman" w:hAnsi="Times New Roman" w:cs="David"/>
          <w:sz w:val="24"/>
          <w:szCs w:val="24"/>
          <w:rtl/>
        </w:rPr>
        <w:t>, אשר לטענתו יעץ לו לפעול להעברת הנכס לאור החשש מניהול הליכים כנגדו; בעדותו לא ידע התובע להשיב, למצער באופן המניח את הדעת, מדוע לא זימן אותו לעדות וייתכן כי היה בכך לשפוך אור על הנסיבות ואף לחזק גרסתו של התובע (עמ' 52 לפרוט', ש' 22 – עמ' 53 ש' 1).לצד זאת, העיד התובע, באופן העולה בקנה אחד עם טענת הנתבעת, כי עריכת ההסכם השני נועדה לשמור על הנכס ועל ק</w:t>
      </w:r>
      <w:r w:rsidR="00B52243">
        <w:rPr>
          <w:rFonts w:ascii="Times New Roman" w:hAnsi="Times New Roman" w:cs="David"/>
          <w:sz w:val="24"/>
          <w:szCs w:val="24"/>
          <w:rtl/>
        </w:rPr>
        <w:t>ורת הגג לילדים (שורות 1-4, עמ</w:t>
      </w:r>
      <w:r w:rsidR="00B52243">
        <w:rPr>
          <w:rFonts w:ascii="Times New Roman" w:hAnsi="Times New Roman" w:cs="David" w:hint="cs"/>
          <w:sz w:val="24"/>
          <w:szCs w:val="24"/>
          <w:rtl/>
        </w:rPr>
        <w:t>'</w:t>
      </w:r>
      <w:r>
        <w:rPr>
          <w:rFonts w:ascii="Times New Roman" w:hAnsi="Times New Roman" w:cs="David"/>
          <w:sz w:val="24"/>
          <w:szCs w:val="24"/>
          <w:rtl/>
        </w:rPr>
        <w:t xml:space="preserve"> 24 לפרוט' מיום 9.7.2015). </w:t>
      </w:r>
    </w:p>
    <w:p w:rsidR="00A032DB" w:rsidRDefault="00A032DB" w:rsidP="00A032DB">
      <w:pPr>
        <w:pStyle w:val="ad"/>
        <w:spacing w:after="0" w:line="360" w:lineRule="auto"/>
        <w:jc w:val="both"/>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Pr>
      </w:pPr>
      <w:r>
        <w:rPr>
          <w:rFonts w:ascii="Times New Roman" w:hAnsi="Times New Roman" w:cs="David"/>
          <w:sz w:val="24"/>
          <w:szCs w:val="24"/>
          <w:rtl/>
        </w:rPr>
        <w:t xml:space="preserve">הוסיף התובע וטען לשותפות ולמעורבות מלאה מצד הנתבעת בתהליך, וכן כי עריכת שני ההסכמים נעשו בהתאם לרצונה ולהסכמתה המלאה.  בחקירתו העיד כי במועד שבו הגיעו הצדדים לבית המשפט, על מנת לאשר את ההסכם השני, היה בידיו ובידי הנתבעת גם את ההסכם השלישי שעליו חתמו (עמ' 60 לפרוט' ש' 17-24). אין חולק כי הנתבעת שותפה בדבר; ברם לא מצאתי לקבל את טענת התובע להיותה שותפה שוות מעמד ליוזמת עריכת ההסכמים וניהול המהלכים כפי שהתרחשו, זאת מבלי להתעלם מהקשיים המתעוררים לנוכח גרסתה ועדותה, כפי שיפורטו להלן. </w:t>
      </w:r>
    </w:p>
    <w:p w:rsidR="005C6780" w:rsidRPr="005C6780" w:rsidRDefault="005C6780" w:rsidP="005C6780">
      <w:pPr>
        <w:pStyle w:val="ad"/>
        <w:spacing w:after="0" w:line="360" w:lineRule="auto"/>
        <w:jc w:val="both"/>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Pr>
      </w:pPr>
      <w:r>
        <w:rPr>
          <w:rFonts w:ascii="Times New Roman" w:hAnsi="Times New Roman" w:cs="David"/>
          <w:b/>
          <w:bCs/>
          <w:i/>
          <w:iCs/>
          <w:sz w:val="24"/>
          <w:szCs w:val="24"/>
          <w:rtl/>
        </w:rPr>
        <w:t>עדות הנתבעת נשמעה לראשונה</w:t>
      </w:r>
      <w:r>
        <w:rPr>
          <w:rFonts w:ascii="Times New Roman" w:hAnsi="Times New Roman" w:cs="David"/>
          <w:sz w:val="24"/>
          <w:szCs w:val="24"/>
          <w:rtl/>
        </w:rPr>
        <w:t xml:space="preserve"> במסגרת הליך ההוכחות שנשמע לפניי; באשר זו, כאמור, לא נשמעה עובר למתן פסה"ד מיום 8.8.16.</w:t>
      </w:r>
    </w:p>
    <w:p w:rsidR="00A032DB" w:rsidRDefault="00A032DB" w:rsidP="00A032DB">
      <w:pPr>
        <w:pStyle w:val="ad"/>
        <w:rPr>
          <w:rFonts w:ascii="Times New Roman" w:hAnsi="Times New Roman" w:cs="David"/>
          <w:sz w:val="24"/>
          <w:szCs w:val="24"/>
        </w:rPr>
      </w:pPr>
    </w:p>
    <w:p w:rsidR="00A032DB" w:rsidRDefault="00A032DB" w:rsidP="00711AE7">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b/>
          <w:bCs/>
          <w:i/>
          <w:iCs/>
          <w:sz w:val="24"/>
          <w:szCs w:val="24"/>
          <w:rtl/>
        </w:rPr>
        <w:t>הצלבה בין תצהיר הנתבעת ועדותה מגלים גרסה בלתי קוהרנטית, משתנה ואף מתפתחת</w:t>
      </w:r>
      <w:r>
        <w:rPr>
          <w:rFonts w:ascii="Times New Roman" w:hAnsi="Times New Roman" w:cs="David"/>
          <w:sz w:val="24"/>
          <w:szCs w:val="24"/>
          <w:rtl/>
        </w:rPr>
        <w:t xml:space="preserve">. תחילה הצהירה הנתבעת, כי חתמה על המסמכים שהוצגו לה מטעם עו"ד </w:t>
      </w:r>
      <w:r w:rsidR="00EC75BE">
        <w:rPr>
          <w:rFonts w:ascii="Times New Roman" w:hAnsi="Times New Roman" w:cs="David" w:hint="cs"/>
          <w:sz w:val="24"/>
          <w:szCs w:val="24"/>
          <w:rtl/>
        </w:rPr>
        <w:t>ג'</w:t>
      </w:r>
      <w:r>
        <w:rPr>
          <w:rFonts w:ascii="Times New Roman" w:hAnsi="Times New Roman" w:cs="David"/>
          <w:sz w:val="24"/>
          <w:szCs w:val="24"/>
          <w:rtl/>
        </w:rPr>
        <w:t xml:space="preserve">, לאחר שהוא </w:t>
      </w:r>
      <w:r>
        <w:rPr>
          <w:rFonts w:ascii="Times New Roman" w:hAnsi="Times New Roman" w:cs="David"/>
          <w:sz w:val="24"/>
          <w:szCs w:val="24"/>
          <w:rtl/>
        </w:rPr>
        <w:lastRenderedPageBreak/>
        <w:t xml:space="preserve">והתובע הבהירו לה שאם לא תחתום, תאבד את הבית, וכן כי לא הספיקה להיוועץ עם עו"ד אחר על המסמכים ועשתה כן, לאחר שעו"ד </w:t>
      </w:r>
      <w:r w:rsidR="00711AE7">
        <w:rPr>
          <w:rFonts w:ascii="Times New Roman" w:hAnsi="Times New Roman" w:cs="David" w:hint="cs"/>
          <w:sz w:val="24"/>
          <w:szCs w:val="24"/>
          <w:rtl/>
        </w:rPr>
        <w:t>ג'</w:t>
      </w:r>
      <w:r>
        <w:rPr>
          <w:rFonts w:ascii="Times New Roman" w:hAnsi="Times New Roman" w:cs="David"/>
          <w:sz w:val="24"/>
          <w:szCs w:val="24"/>
          <w:rtl/>
        </w:rPr>
        <w:t xml:space="preserve"> הרגיע אותה כי לא יהיה תוקף למסמכים אלו, אלא לאחר שבית המשפט יקבל את הסכמתה. בבית המשפט הסכימה ליתן תוקף להסכם השני בלבד, משכך בוטלו כלל ההסכמים האחרים הסותרים אותו. </w:t>
      </w:r>
    </w:p>
    <w:p w:rsidR="00A032DB" w:rsidRDefault="00A032DB" w:rsidP="00A032DB">
      <w:pPr>
        <w:pStyle w:val="ad"/>
        <w:rPr>
          <w:rFonts w:ascii="Times New Roman" w:hAnsi="Times New Roman" w:cs="David"/>
          <w:sz w:val="24"/>
          <w:szCs w:val="24"/>
        </w:rPr>
      </w:pPr>
    </w:p>
    <w:p w:rsidR="00A032DB" w:rsidRDefault="00A032DB" w:rsidP="00B52243">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בחקירה טענה, כי הלכה לעו"ד מתוך חשש כי תאבד את הבית. קודם חתימתה, קראה את המסמכים ברפרוף ולא התייעצה לגביהם עם גורם אחר. לא הבינה עד הסוף על מה היא חותמת, כי לא הוסבר לה ע"י עוה"ד (ר' בעמ' 65 לפרוט' מיום 20.5.2019).  הוסיפה וטענה, כי הצדדים הגיעו לבית המשפט עם שני ההסכמים חתומים, השני והשלישי, ורק שם החליט התובע איזה הסכם להגיש לאישור בדיון. לאחר שהוסבר לה תוכן ההסכם השני ע"י בית המשפט, נתנה הסכמתה לו (שם, בעמ</w:t>
      </w:r>
      <w:r w:rsidR="00B52243">
        <w:rPr>
          <w:rFonts w:ascii="Times New Roman" w:hAnsi="Times New Roman" w:cs="David" w:hint="cs"/>
          <w:sz w:val="24"/>
          <w:szCs w:val="24"/>
          <w:rtl/>
        </w:rPr>
        <w:t>'</w:t>
      </w:r>
      <w:r>
        <w:rPr>
          <w:rFonts w:ascii="Times New Roman" w:hAnsi="Times New Roman" w:cs="David"/>
          <w:sz w:val="24"/>
          <w:szCs w:val="24"/>
          <w:rtl/>
        </w:rPr>
        <w:t xml:space="preserve"> 66). </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הנתבעת אישרה כי הגיעו לבית המשפט עם שני ההסכמים; יחד עם זאת טענה כי  רק במעמד הדיון בבית המשפט נודע לה איזה הסכם הגיש התובע לאישור וכי עם אישרורו ע"י בית המשפט, בוטל ההסכם השלישי שנחתם בידי הצדדים: </w:t>
      </w:r>
    </w:p>
    <w:p w:rsidR="00A032DB" w:rsidRDefault="00A032DB" w:rsidP="00A032DB">
      <w:pPr>
        <w:spacing w:line="360" w:lineRule="auto"/>
        <w:ind w:left="720"/>
        <w:jc w:val="both"/>
        <w:rPr>
          <w:rFonts w:ascii="David" w:eastAsia="David" w:hAnsi="David"/>
          <w:b/>
          <w:bCs/>
        </w:rPr>
      </w:pPr>
      <w:r>
        <w:rPr>
          <w:rtl/>
        </w:rPr>
        <w:t xml:space="preserve">" </w:t>
      </w:r>
      <w:r>
        <w:rPr>
          <w:rFonts w:ascii="David" w:eastAsia="David" w:hAnsi="David"/>
          <w:b/>
          <w:bCs/>
          <w:rtl/>
        </w:rPr>
        <w:t>לשאלת ביהמ"ש מה הכוונה הסכם ראשון או שני, אני משיבה שההסכם הראשון הוא ההסכם שקיבל תוקף בבימ"ש, וההסכם השני זה מה ששימי רוצה ללכת עליו. אני מדברת על היום של בימ"ש. כשהגענו לשם היו לשימי שני הסכמים, מה שעבר בבימ"ש, ומה ששימי רוצה עכשיו לשנות שחצי הבית שלו. לא ידענו מה נאשר. אמרו לי שמה שיקבל תוקף בבימ"ש זה מה שיקבע והאחרים מבוטלים. באותו יום חתמתי על שני הסכמים.</w:t>
      </w:r>
    </w:p>
    <w:p w:rsidR="00A032DB" w:rsidRDefault="00A032DB" w:rsidP="005C6780">
      <w:pPr>
        <w:pStyle w:val="ad"/>
        <w:spacing w:after="0" w:line="360" w:lineRule="auto"/>
        <w:jc w:val="both"/>
        <w:rPr>
          <w:rFonts w:ascii="Times New Roman" w:hAnsi="Times New Roman" w:cs="David"/>
          <w:sz w:val="24"/>
          <w:szCs w:val="24"/>
          <w:rtl/>
        </w:rPr>
      </w:pPr>
      <w:r>
        <w:rPr>
          <w:rFonts w:ascii="David" w:eastAsia="David" w:hAnsi="David" w:cs="David"/>
          <w:b/>
          <w:bCs/>
          <w:sz w:val="24"/>
          <w:szCs w:val="24"/>
          <w:rtl/>
        </w:rPr>
        <w:t>לשאלת ביהמ"ש, איזה שני הסכמים היו אצל התובע כשהגענו לביהמ"ש לצורך אישור ההסכם ב-2009 אני משיבה שהיה הסכם אחד ששימי מעביר לי את הבעלות של הבית ואני מתחייבת לתת 800,000 ₪ לילדים שזה החלק שלו וזה עבר בבימ"ש. בנוסף לזה היה עוד הסכם שאומר שאני חייבת לו על חצי בית. הגענו לביהמ"ש ועוד לא ידעו מה יהיה עם התביעה כי הולכים לתבוע אותו, אז אוטומטית חתמתי על שני ההסכם ואמרו שמה שיעבור בבימ"ש זה מה שיקבע והשני מבוטל.</w:t>
      </w:r>
      <w:r>
        <w:rPr>
          <w:rFonts w:ascii="Times New Roman" w:hAnsi="Times New Roman" w:cs="David"/>
          <w:sz w:val="24"/>
          <w:szCs w:val="24"/>
          <w:rtl/>
        </w:rPr>
        <w:t>" (ר</w:t>
      </w:r>
      <w:r w:rsidR="005C6780">
        <w:rPr>
          <w:rFonts w:ascii="Times New Roman" w:hAnsi="Times New Roman" w:cs="David" w:hint="cs"/>
          <w:sz w:val="24"/>
          <w:szCs w:val="24"/>
          <w:rtl/>
        </w:rPr>
        <w:t>'</w:t>
      </w:r>
      <w:r>
        <w:rPr>
          <w:rFonts w:ascii="Times New Roman" w:hAnsi="Times New Roman" w:cs="David"/>
          <w:sz w:val="24"/>
          <w:szCs w:val="24"/>
          <w:rtl/>
        </w:rPr>
        <w:t xml:space="preserve"> בעמ</w:t>
      </w:r>
      <w:r w:rsidR="00B52243">
        <w:rPr>
          <w:rFonts w:ascii="Times New Roman" w:hAnsi="Times New Roman" w:cs="David" w:hint="cs"/>
          <w:sz w:val="24"/>
          <w:szCs w:val="24"/>
          <w:rtl/>
        </w:rPr>
        <w:t>'</w:t>
      </w:r>
      <w:r>
        <w:rPr>
          <w:rFonts w:ascii="Times New Roman" w:hAnsi="Times New Roman" w:cs="David"/>
          <w:sz w:val="24"/>
          <w:szCs w:val="24"/>
          <w:rtl/>
        </w:rPr>
        <w:t xml:space="preserve"> 66, שורות 8-18). </w:t>
      </w:r>
    </w:p>
    <w:p w:rsidR="005C6780" w:rsidRDefault="005C6780" w:rsidP="005C6780">
      <w:pPr>
        <w:pStyle w:val="ad"/>
        <w:spacing w:after="0" w:line="360" w:lineRule="auto"/>
        <w:jc w:val="both"/>
        <w:rPr>
          <w:rFonts w:ascii="Times New Roman" w:hAnsi="Times New Roman" w:cs="David"/>
          <w:sz w:val="24"/>
          <w:szCs w:val="24"/>
          <w:rtl/>
        </w:rPr>
      </w:pPr>
    </w:p>
    <w:p w:rsidR="00A032DB" w:rsidRDefault="00A032DB" w:rsidP="00922C06">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מטעם הנתבעת לא סופק הסבר הכיצד המסמכים הנלווים, וביניהם הצוואה ושטר החוב שעליהם חתמה, היו מוכנים במועד הפגישה עם עו"ד </w:t>
      </w:r>
      <w:r w:rsidR="00922C06">
        <w:rPr>
          <w:rFonts w:ascii="Times New Roman" w:hAnsi="Times New Roman" w:cs="David" w:hint="cs"/>
          <w:sz w:val="24"/>
          <w:szCs w:val="24"/>
          <w:rtl/>
        </w:rPr>
        <w:t>ג'</w:t>
      </w:r>
      <w:r>
        <w:rPr>
          <w:rFonts w:ascii="Times New Roman" w:hAnsi="Times New Roman" w:cs="David"/>
          <w:sz w:val="24"/>
          <w:szCs w:val="24"/>
          <w:rtl/>
        </w:rPr>
        <w:t xml:space="preserve"> והיא אף הכחישה הימצאותה של עורכת דין נוספת אשר חתמה כעדה לצוואה. לגרסתה חתימות העדים הוספו לצוואה בשלב מאוחר יותר</w:t>
      </w:r>
      <w:r w:rsidR="005C6780">
        <w:rPr>
          <w:rFonts w:ascii="Times New Roman" w:hAnsi="Times New Roman" w:cs="David"/>
          <w:sz w:val="24"/>
          <w:szCs w:val="24"/>
          <w:rtl/>
        </w:rPr>
        <w:t xml:space="preserve"> (</w:t>
      </w:r>
      <w:r w:rsidR="005C6780">
        <w:rPr>
          <w:rFonts w:ascii="Times New Roman" w:hAnsi="Times New Roman" w:cs="David" w:hint="cs"/>
          <w:sz w:val="24"/>
          <w:szCs w:val="24"/>
          <w:rtl/>
        </w:rPr>
        <w:t>ר'</w:t>
      </w:r>
      <w:r>
        <w:rPr>
          <w:rFonts w:ascii="Times New Roman" w:hAnsi="Times New Roman" w:cs="David"/>
          <w:sz w:val="24"/>
          <w:szCs w:val="24"/>
          <w:rtl/>
        </w:rPr>
        <w:t xml:space="preserve"> בעמ</w:t>
      </w:r>
      <w:r w:rsidR="00B52243">
        <w:rPr>
          <w:rFonts w:ascii="Times New Roman" w:hAnsi="Times New Roman" w:cs="David" w:hint="cs"/>
          <w:sz w:val="24"/>
          <w:szCs w:val="24"/>
          <w:rtl/>
        </w:rPr>
        <w:t>'</w:t>
      </w:r>
      <w:r>
        <w:rPr>
          <w:rFonts w:ascii="Times New Roman" w:hAnsi="Times New Roman" w:cs="David"/>
          <w:sz w:val="24"/>
          <w:szCs w:val="24"/>
          <w:rtl/>
        </w:rPr>
        <w:t xml:space="preserve"> 69-70). </w:t>
      </w:r>
    </w:p>
    <w:p w:rsidR="00A032DB" w:rsidRDefault="00A032DB" w:rsidP="00A032DB">
      <w:pPr>
        <w:pStyle w:val="ad"/>
        <w:spacing w:after="0" w:line="360" w:lineRule="auto"/>
        <w:jc w:val="both"/>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Pr>
      </w:pPr>
      <w:r>
        <w:rPr>
          <w:rFonts w:ascii="Times New Roman" w:hAnsi="Times New Roman" w:cs="David"/>
          <w:sz w:val="24"/>
          <w:szCs w:val="24"/>
          <w:rtl/>
        </w:rPr>
        <w:t xml:space="preserve">מעדותה של הנתבעת נלמד, כי שיתוף הפעולה שלה עם מעללי התובע, נעשה במודעות, מתוך הבנתה את הסיכון הכלכלי הרובץ לפתחו של התובע, מחמת מותו של הקבלן, וכי לאורך הדרך </w:t>
      </w:r>
      <w:r>
        <w:rPr>
          <w:rFonts w:ascii="Times New Roman" w:hAnsi="Times New Roman" w:cs="David"/>
          <w:sz w:val="24"/>
          <w:szCs w:val="24"/>
          <w:rtl/>
        </w:rPr>
        <w:lastRenderedPageBreak/>
        <w:t xml:space="preserve">פעלה מתוך מודעות ורצון לשמור על הנכס ולהבטיח את המשך מגוריה בו. לא מצאתי לקבל את גרסתה המיתממת לכאורה, לפיה אישורו של ההסכם השני הביא לביטול משמעות התחייבותה בהסכם השלישי, זאת, בין היתר, בהעדר אפשרות ליישב טענה זו עם טענה אחרת שהועלתה על ידה, לפיה במועד אישור ההסכם, עמדה לתובע האפשרות לבחור להגיש הסכם זה לאישור, תחת ההסכם השני, כאמור לעיל.   </w:t>
      </w:r>
    </w:p>
    <w:p w:rsidR="00A032DB" w:rsidRDefault="00A032DB" w:rsidP="00A032DB">
      <w:pPr>
        <w:pStyle w:val="ad"/>
        <w:rPr>
          <w:rFonts w:ascii="Times New Roman" w:hAnsi="Times New Roman" w:cs="David"/>
          <w:sz w:val="24"/>
          <w:szCs w:val="24"/>
        </w:rPr>
      </w:pPr>
    </w:p>
    <w:p w:rsidR="00A032DB" w:rsidRDefault="00A032DB" w:rsidP="003841C1">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הנתבעת דבקה בטענה כי פעלה לחתימה על המסמכים, הגם שלא הבינה מהותם, תחת האיום של עו"ד </w:t>
      </w:r>
      <w:r w:rsidR="003841C1">
        <w:rPr>
          <w:rFonts w:ascii="Times New Roman" w:hAnsi="Times New Roman" w:cs="David" w:hint="cs"/>
          <w:sz w:val="24"/>
          <w:szCs w:val="24"/>
          <w:rtl/>
        </w:rPr>
        <w:t>ג'</w:t>
      </w:r>
      <w:r>
        <w:rPr>
          <w:rFonts w:ascii="Times New Roman" w:hAnsi="Times New Roman" w:cs="David"/>
          <w:sz w:val="24"/>
          <w:szCs w:val="24"/>
          <w:rtl/>
        </w:rPr>
        <w:t xml:space="preserve"> והתובע כי תאבד את הנכס; ברם ומשנשאלה ע"י בית המשפט מדוע לא לבטל את שני ההסכמים, השני והשלישי, מחמת מצבה הנטען בעת החתימה עליהם, השיבה: </w:t>
      </w:r>
    </w:p>
    <w:p w:rsidR="00A032DB" w:rsidRDefault="00A032DB" w:rsidP="00B52243">
      <w:pPr>
        <w:spacing w:line="360" w:lineRule="auto"/>
        <w:ind w:left="720"/>
        <w:jc w:val="both"/>
        <w:rPr>
          <w:rFonts w:ascii="David" w:hAnsi="David"/>
          <w:rtl/>
        </w:rPr>
      </w:pPr>
      <w:r>
        <w:rPr>
          <w:rFonts w:ascii="David" w:hAnsi="David"/>
          <w:b/>
          <w:bCs/>
          <w:rtl/>
        </w:rPr>
        <w:t>"לשאלת ביהמ"ש למה לא לבטל את שני ההסכם מאחר ואני טוענת שאיימו עלי ואכן חתמתי עליהם אני משיבה שאני רואה את היחס הרציף שלו כלפי הילדים המשותפים שלנו איך הם סוג ב' לעומת הילדים הנוכחים שיש לו מהאישה השניה והוא עצמו אומר, בית שאני חסכתי וצמצמתי בהוצאות שלי, בנינו אותו יחד כשהיינו נשואים, אני זאת שצמצמתי, בסוף הילדים שלה, הוא רוצה לבוא ולתת להם את הכסף הזה. הוא אומר בעצמו שהוא רוצה את הכסף כדי לחלק אותו לכל הילדים. ש. מתי הוא אמר את זה?</w:t>
      </w:r>
      <w:r w:rsidR="00B52243">
        <w:rPr>
          <w:rFonts w:ascii="David" w:hAnsi="David" w:hint="cs"/>
          <w:b/>
          <w:bCs/>
          <w:rtl/>
        </w:rPr>
        <w:t xml:space="preserve"> </w:t>
      </w:r>
      <w:r>
        <w:rPr>
          <w:rFonts w:ascii="David" w:hAnsi="David"/>
          <w:b/>
          <w:bCs/>
          <w:rtl/>
        </w:rPr>
        <w:t>ת. פה בבימ"ש, לא זוכרת בדיוק מתי אבל הוא אמר את זה. אפשר לחפש בפרוטוקולים. ש. אני מבינה שהסיבה שאת עומדת על קיומו של ההסכם השני זה בגלל שזה לא פייר שהילדים מאשתו הנוכחית ייהנו מהזכויות בבית, נכון?</w:t>
      </w:r>
      <w:r w:rsidR="00B52243">
        <w:rPr>
          <w:rFonts w:ascii="David" w:hAnsi="David" w:hint="cs"/>
          <w:b/>
          <w:bCs/>
          <w:rtl/>
        </w:rPr>
        <w:t xml:space="preserve"> </w:t>
      </w:r>
      <w:r>
        <w:rPr>
          <w:rFonts w:ascii="David" w:hAnsi="David"/>
          <w:b/>
          <w:bCs/>
          <w:rtl/>
        </w:rPr>
        <w:t>ת. כן. הסכמים לא נועדו בשביל שהיא, האישה החדשה שלו תקבל את הבית. הם נועדו כדי להגן על הילדים שלי. זה גם מה שהוא הצהיר. ברגע שהוא מבטל את ההסכם הזה, מי שנפגע זה הילדים שלי, לא היא ולא אני.</w:t>
      </w:r>
      <w:r>
        <w:rPr>
          <w:rFonts w:ascii="David" w:hAnsi="David"/>
          <w:rtl/>
        </w:rPr>
        <w:t xml:space="preserve"> " (בעמ</w:t>
      </w:r>
      <w:r w:rsidR="00B52243">
        <w:rPr>
          <w:rFonts w:ascii="David" w:hAnsi="David" w:hint="cs"/>
          <w:rtl/>
        </w:rPr>
        <w:t>'</w:t>
      </w:r>
      <w:r>
        <w:rPr>
          <w:rFonts w:ascii="David" w:hAnsi="David"/>
          <w:rtl/>
        </w:rPr>
        <w:t xml:space="preserve"> 70-71 לפרוט'). </w:t>
      </w:r>
    </w:p>
    <w:p w:rsidR="00A032DB" w:rsidRDefault="00A032DB" w:rsidP="00A032DB">
      <w:pPr>
        <w:spacing w:line="360" w:lineRule="auto"/>
        <w:ind w:left="1440"/>
        <w:jc w:val="both"/>
        <w:rPr>
          <w:rFonts w:ascii="David" w:hAnsi="David"/>
          <w:rtl/>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דברי הנתבעת בעדותה חושפים את המוטיבציה העיקרית העומדת בבסיס טענותיה לקיומו של ההסכם השני, שהיא מניעת האפשרות כי התובע יעשה בחלקו כרצונו, לרבות שיתוף רעייתו השנייה וארבעת ילדיהם, מעבר לילדים המשותפים של הצדדים; זאת תחת הטענה כי המדובר בהסכם תקף שמטרתו לשמור על הנכס הפיזי עבור מגוריה ומגורי ילדי הצדדים </w:t>
      </w:r>
      <w:r w:rsidR="00B52243">
        <w:rPr>
          <w:rFonts w:ascii="Times New Roman" w:hAnsi="Times New Roman" w:cs="David"/>
          <w:sz w:val="24"/>
          <w:szCs w:val="24"/>
          <w:rtl/>
        </w:rPr>
        <w:br/>
      </w:r>
      <w:r>
        <w:rPr>
          <w:rFonts w:ascii="Times New Roman" w:hAnsi="Times New Roman" w:cs="David"/>
          <w:b/>
          <w:bCs/>
          <w:sz w:val="24"/>
          <w:szCs w:val="24"/>
          <w:rtl/>
        </w:rPr>
        <w:t xml:space="preserve">(ר' בעמ' 72 לפרוט', ש' 2-3 לעדותה: "ת. </w:t>
      </w:r>
      <w:r>
        <w:rPr>
          <w:rFonts w:ascii="David" w:hAnsi="David" w:cs="David"/>
          <w:b/>
          <w:bCs/>
          <w:sz w:val="24"/>
          <w:szCs w:val="24"/>
          <w:rtl/>
        </w:rPr>
        <w:t>אני אמרתי שוב, אחרי שחתמנו על ההסכם אני רואה שהוא לא מתייחס אל הילדים שלנו כשווים לילדים שלו מנישואין הראשונים ואני רוצה להגן על הילדים שלי.</w:t>
      </w:r>
      <w:r>
        <w:rPr>
          <w:rFonts w:ascii="Times New Roman" w:hAnsi="Times New Roman" w:cs="David"/>
          <w:b/>
          <w:bCs/>
          <w:sz w:val="24"/>
          <w:szCs w:val="24"/>
          <w:rtl/>
        </w:rPr>
        <w:t>"</w:t>
      </w:r>
      <w:r>
        <w:rPr>
          <w:rFonts w:ascii="Times New Roman" w:hAnsi="Times New Roman" w:cs="David"/>
          <w:sz w:val="24"/>
          <w:szCs w:val="24"/>
          <w:rtl/>
        </w:rPr>
        <w:t xml:space="preserve">). </w:t>
      </w:r>
    </w:p>
    <w:p w:rsidR="005C6780" w:rsidRPr="005C6780" w:rsidRDefault="005C6780" w:rsidP="005C6780">
      <w:pPr>
        <w:pStyle w:val="ad"/>
        <w:spacing w:after="0" w:line="360" w:lineRule="auto"/>
        <w:jc w:val="both"/>
        <w:rPr>
          <w:rFonts w:ascii="David" w:hAnsi="David" w:cs="David"/>
          <w:sz w:val="24"/>
          <w:szCs w:val="24"/>
        </w:rPr>
      </w:pPr>
    </w:p>
    <w:p w:rsidR="00A032DB" w:rsidRDefault="00A032DB" w:rsidP="00A032DB">
      <w:pPr>
        <w:pStyle w:val="ad"/>
        <w:numPr>
          <w:ilvl w:val="0"/>
          <w:numId w:val="1"/>
        </w:numPr>
        <w:spacing w:after="0" w:line="360" w:lineRule="auto"/>
        <w:jc w:val="both"/>
        <w:rPr>
          <w:rFonts w:ascii="David" w:hAnsi="David" w:cs="David"/>
          <w:sz w:val="24"/>
          <w:szCs w:val="24"/>
        </w:rPr>
      </w:pPr>
      <w:r>
        <w:rPr>
          <w:rFonts w:ascii="Times New Roman" w:hAnsi="Times New Roman" w:cs="David"/>
          <w:sz w:val="24"/>
          <w:szCs w:val="24"/>
          <w:rtl/>
        </w:rPr>
        <w:t>בכך לא הצליחה הנתבעת להסביר את הסתירה המהותית בין טענותיה, כי פעלה מתוך איום וחשש שהופעלו כלפיה, כאשר בכל זאת אין מקום לביטול ההסכם אשר נחתם במצב דברים זה, בהגדירה אותו כהסכם הנכון, שראוי לקיימו, אך בשל רצונו של התובע לחלוק את נכסיו ("</w:t>
      </w:r>
      <w:r>
        <w:rPr>
          <w:rFonts w:ascii="David" w:hAnsi="David" w:cs="David"/>
          <w:b/>
          <w:bCs/>
          <w:sz w:val="24"/>
          <w:szCs w:val="24"/>
          <w:rtl/>
        </w:rPr>
        <w:t xml:space="preserve">ש. קראת לזה ההסכם הנכון, הרי גם ההסכם השני היה יכול להיות נכון אם היה מאושר. </w:t>
      </w:r>
      <w:r>
        <w:rPr>
          <w:rFonts w:ascii="David" w:hAnsi="David" w:cs="David"/>
          <w:b/>
          <w:bCs/>
          <w:sz w:val="24"/>
          <w:szCs w:val="24"/>
          <w:rtl/>
        </w:rPr>
        <w:lastRenderedPageBreak/>
        <w:t xml:space="preserve">ת. כי בדיעבד, היום כשאני יודעת שהוא רוצה לחלק את חצי מהבית ל-8 ילדים ואולי גם לאשתו אז אני יודעת שזה ההסכם הנכון." </w:t>
      </w:r>
      <w:r>
        <w:rPr>
          <w:rFonts w:ascii="David" w:hAnsi="David" w:cs="David"/>
          <w:sz w:val="24"/>
          <w:szCs w:val="24"/>
          <w:rtl/>
        </w:rPr>
        <w:t>בעמוד 68 לפרוט'</w:t>
      </w:r>
      <w:r>
        <w:rPr>
          <w:rFonts w:ascii="David" w:hAnsi="David" w:cs="David"/>
          <w:b/>
          <w:bCs/>
          <w:sz w:val="24"/>
          <w:szCs w:val="24"/>
          <w:rtl/>
        </w:rPr>
        <w:t xml:space="preserve">).  </w:t>
      </w:r>
    </w:p>
    <w:p w:rsidR="00A032DB" w:rsidRPr="005C6780"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אלא שבחינת השתלשלות העניינים, לרבות מועד חתימת הצדדים על שני ההסכמים, סמוך למותו המצער של הקבלן והחשש מתביעה נזיקית, וכן טיבה של מערכת היחסים בין הצדדים, מלמדים כי ההסכם השני נערך ונחתם מתוך כוונת הצדדים להבריח את זכויותיו של התובע בנכס, לצורך שמירת החזקה הפיזית בו. בתוך כך ועל מנת להבטיח את זכויותיו הכספיות של התובע הנגזרות מזכויות הבעלות בנכס, חתמו הצדדים גם על ההסכם השלישי, העוסק בחבותה הכספית של הנתבעת כלפיו. </w:t>
      </w:r>
    </w:p>
    <w:p w:rsidR="00A032DB" w:rsidRDefault="00A032DB" w:rsidP="00A032DB">
      <w:pPr>
        <w:pStyle w:val="ad"/>
        <w:spacing w:after="0" w:line="360" w:lineRule="auto"/>
        <w:jc w:val="both"/>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u w:val="single"/>
        </w:rPr>
      </w:pPr>
      <w:r>
        <w:rPr>
          <w:rFonts w:ascii="Times New Roman" w:hAnsi="Times New Roman" w:cs="David"/>
          <w:sz w:val="24"/>
          <w:szCs w:val="24"/>
          <w:rtl/>
        </w:rPr>
        <w:t xml:space="preserve">נמצא כי הצדדים לא התכוונו להעברה ממשית של זכויות התובע בנכס לנתבעת, גם לא במישור היחסים בין הצדדים וכי ההסכם נעשה כיצירת מצג שווא כלפי צדדים ג'. כחידוד לכך, בחרתי לייחס משקל לעובדה כי הנתבעת לא פעלה לשינוי רישום הזכויות בנכס, הגם סירובו של התובע לחתום על המסמכים הנדרשים ובהתאם ליכולתה לכוף אותו לעשות כן, מכוחו של ההסכם השני. </w:t>
      </w:r>
    </w:p>
    <w:p w:rsidR="00A032DB" w:rsidRDefault="00A032DB" w:rsidP="00A032DB">
      <w:pPr>
        <w:pStyle w:val="ad"/>
        <w:rPr>
          <w:rFonts w:ascii="Times New Roman" w:hAnsi="Times New Roman" w:cs="David"/>
          <w:sz w:val="24"/>
          <w:szCs w:val="24"/>
          <w:u w:val="single"/>
        </w:rPr>
      </w:pPr>
    </w:p>
    <w:p w:rsidR="00A032DB" w:rsidRDefault="00A032DB" w:rsidP="00A032DB">
      <w:pPr>
        <w:pStyle w:val="ad"/>
        <w:numPr>
          <w:ilvl w:val="0"/>
          <w:numId w:val="1"/>
        </w:numPr>
        <w:spacing w:after="0" w:line="360" w:lineRule="auto"/>
        <w:jc w:val="both"/>
        <w:rPr>
          <w:rFonts w:ascii="Times New Roman" w:hAnsi="Times New Roman" w:cs="David"/>
          <w:sz w:val="24"/>
          <w:szCs w:val="24"/>
          <w:u w:val="single"/>
          <w:rtl/>
        </w:rPr>
      </w:pPr>
      <w:r>
        <w:rPr>
          <w:rFonts w:ascii="Times New Roman" w:hAnsi="Times New Roman" w:cs="David"/>
          <w:sz w:val="24"/>
          <w:szCs w:val="24"/>
          <w:rtl/>
        </w:rPr>
        <w:t>ייתכן כי הנתבעת ראתה בסיטואציה אליה נקלע התובע, הזדמנות לקבלת מלוא הזכויות בנכס, תוך הבטחת עתידם הכלכלי של ילדי הצדדים בחסות ויתור התובע ועל כן הסכימה לחתום על שני ההסכמים, מתוך ידיעה כי ההסכם למראית עין שיאושר הוא ההסכם השריר והתקף. אולם, תחושת הצדק הטבעי וההגינות אינן מאפשרות ליתן יד לניצול אופורטוניסטי זה, בהותירו את התובע חסר זכויות כלל, בבחינת אפס או מאה. שהרי אף אם היה הנכס ממומש במסגרת חבותו הנזיקית של התובע, עתידה הייתה הנתבעת לקבל מחצית מתמורת הנכס בהתאם לזכויותיה, מבלי שנגרע ממנה דבר.</w:t>
      </w:r>
    </w:p>
    <w:p w:rsidR="00A032DB" w:rsidRDefault="00A032DB" w:rsidP="00A032DB">
      <w:pPr>
        <w:pStyle w:val="ad"/>
        <w:rPr>
          <w:rFonts w:ascii="Times New Roman" w:hAnsi="Times New Roman" w:cs="David"/>
          <w:sz w:val="24"/>
          <w:szCs w:val="24"/>
          <w:u w:val="single"/>
        </w:rPr>
      </w:pPr>
    </w:p>
    <w:p w:rsidR="00A032DB" w:rsidRDefault="00A032DB" w:rsidP="00A032DB">
      <w:pPr>
        <w:pStyle w:val="ad"/>
        <w:numPr>
          <w:ilvl w:val="0"/>
          <w:numId w:val="1"/>
        </w:numPr>
        <w:spacing w:after="0" w:line="360" w:lineRule="auto"/>
        <w:jc w:val="both"/>
        <w:rPr>
          <w:rFonts w:ascii="Times New Roman" w:hAnsi="Times New Roman" w:cs="David"/>
          <w:sz w:val="24"/>
          <w:szCs w:val="24"/>
          <w:u w:val="single"/>
          <w:rtl/>
        </w:rPr>
      </w:pPr>
      <w:r>
        <w:rPr>
          <w:rFonts w:ascii="Times New Roman" w:hAnsi="Times New Roman" w:cs="David"/>
          <w:sz w:val="24"/>
          <w:szCs w:val="24"/>
          <w:rtl/>
        </w:rPr>
        <w:t xml:space="preserve">תוצאה אחרת שאינה בטלות ההסכם השני, סוטה מכללי הצדק הטבעי, באופן שמותיר את הנתבעת בעלת מלוא הזכויות בנכס ולצידה זכות מגורים עד אחרית ימיה, בהיעדר כל מתווה קונקרטי למכירת הנכס והעברת התמורה הכספית לילדים בגין חלקו של התובע בנכס. </w:t>
      </w:r>
    </w:p>
    <w:p w:rsidR="00A032DB" w:rsidRDefault="00A032DB" w:rsidP="00A032DB">
      <w:pPr>
        <w:pStyle w:val="ad"/>
        <w:rPr>
          <w:rFonts w:ascii="Times New Roman" w:hAnsi="Times New Roman" w:cs="David"/>
          <w:sz w:val="24"/>
          <w:szCs w:val="24"/>
          <w:u w:val="single"/>
        </w:rPr>
      </w:pPr>
    </w:p>
    <w:p w:rsidR="00A032DB" w:rsidRDefault="00A032DB" w:rsidP="00A032DB">
      <w:pPr>
        <w:pStyle w:val="ad"/>
        <w:numPr>
          <w:ilvl w:val="0"/>
          <w:numId w:val="1"/>
        </w:numPr>
        <w:spacing w:after="0" w:line="360" w:lineRule="auto"/>
        <w:jc w:val="both"/>
        <w:rPr>
          <w:rFonts w:ascii="Times New Roman" w:hAnsi="Times New Roman" w:cs="David"/>
          <w:sz w:val="24"/>
          <w:szCs w:val="24"/>
          <w:u w:val="single"/>
          <w:rtl/>
        </w:rPr>
      </w:pPr>
      <w:r>
        <w:rPr>
          <w:rFonts w:ascii="Times New Roman" w:hAnsi="Times New Roman" w:cs="David"/>
          <w:sz w:val="24"/>
          <w:szCs w:val="24"/>
          <w:rtl/>
        </w:rPr>
        <w:t xml:space="preserve">בנוסף לזאת ובשונה מגרסת התובע אשר ניסה לצייר מערכת יחסים אידיאלית בין הצדדים על מנת להטיל על הנתבעת חבות במידת מעורבותה ושיתוף הפעולה מצידה בניסיון של הברחת הנכס מנושים עתידיים, התרשמתי כי בין הצדדים שוררת מערכת יחסים המאופיינת בחוסר אמון וחשדנות ואפילו חסרת כבוד הדדי (ראה לעניין זה דבריה של הנתבעת בעמוד 68, שורות 9-10). במצב דברים זה, ברי כי כל בר דעת לא יפקיד את זכויותיו הקנייניות בידיה של רעייתו לשעבר, כי אם יבחר במנגנון לשמירה על הזכויות והבטחת שובן אליו.  </w:t>
      </w:r>
    </w:p>
    <w:p w:rsidR="00A032DB" w:rsidRDefault="00A032DB" w:rsidP="00A032DB">
      <w:pPr>
        <w:pStyle w:val="ad"/>
        <w:rPr>
          <w:rFonts w:ascii="Times New Roman" w:hAnsi="Times New Roman" w:cs="David"/>
          <w:sz w:val="24"/>
          <w:szCs w:val="24"/>
          <w:u w:val="single"/>
        </w:rPr>
      </w:pPr>
    </w:p>
    <w:p w:rsidR="00A032DB" w:rsidRPr="00916C54" w:rsidRDefault="00A032DB" w:rsidP="000F7421">
      <w:pPr>
        <w:pStyle w:val="ad"/>
        <w:numPr>
          <w:ilvl w:val="0"/>
          <w:numId w:val="1"/>
        </w:numPr>
        <w:spacing w:after="0" w:line="360" w:lineRule="auto"/>
        <w:jc w:val="both"/>
        <w:rPr>
          <w:rFonts w:ascii="Times New Roman" w:hAnsi="Times New Roman" w:cs="David"/>
          <w:b/>
          <w:bCs/>
          <w:sz w:val="24"/>
          <w:szCs w:val="24"/>
        </w:rPr>
      </w:pPr>
      <w:r w:rsidRPr="00916C54">
        <w:rPr>
          <w:rFonts w:ascii="Times New Roman" w:hAnsi="Times New Roman" w:cs="David"/>
          <w:sz w:val="24"/>
          <w:szCs w:val="24"/>
          <w:rtl/>
        </w:rPr>
        <w:t xml:space="preserve">הדבר עולה אף מעדותו של עו"ד </w:t>
      </w:r>
      <w:r w:rsidR="000F7421">
        <w:rPr>
          <w:rFonts w:ascii="Times New Roman" w:hAnsi="Times New Roman" w:cs="David" w:hint="cs"/>
          <w:sz w:val="24"/>
          <w:szCs w:val="24"/>
          <w:rtl/>
        </w:rPr>
        <w:t>ג'</w:t>
      </w:r>
      <w:r w:rsidRPr="00916C54">
        <w:rPr>
          <w:rFonts w:ascii="Times New Roman" w:hAnsi="Times New Roman" w:cs="David"/>
          <w:sz w:val="24"/>
          <w:szCs w:val="24"/>
          <w:rtl/>
        </w:rPr>
        <w:t xml:space="preserve">, אשר נשאל לעניין מהות העברת הזכויות בין ההסכמים והשיב: </w:t>
      </w:r>
      <w:r w:rsidRPr="00916C54">
        <w:rPr>
          <w:rFonts w:ascii="Times New Roman" w:hAnsi="Times New Roman" w:cs="David"/>
          <w:b/>
          <w:bCs/>
          <w:sz w:val="24"/>
          <w:szCs w:val="24"/>
          <w:rtl/>
        </w:rPr>
        <w:t xml:space="preserve">"הסעיף הזה מתייחס לטענה שגם אם פסק הדין גובר על העובדה שההסכם הוא למראית עין, אז עדיין ניתן בלחץ מסוים להשאיר את שני ההסכמים בתוקף ולבוא ולומר, שאם אומנם הוא העביר את הזכויות בדירה בהיבט הקנייני לאישה עדיין היא נשארה חייבת לו את הכסף בהתאם לשטר החוב, 750,000 ₪ ובהתאם להסכם השני." (ראה בעמוד 46, שורות 28-31 לפרוט' מיום 6.2.2019). </w:t>
      </w:r>
    </w:p>
    <w:p w:rsidR="00A032DB" w:rsidRDefault="00A032DB" w:rsidP="00A032DB">
      <w:pPr>
        <w:pStyle w:val="ad"/>
        <w:rPr>
          <w:rFonts w:ascii="Times New Roman" w:hAnsi="Times New Roman" w:cs="David"/>
          <w:sz w:val="24"/>
          <w:szCs w:val="24"/>
          <w:u w:val="single"/>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בהתאם לזאת ולאור נקודת המוצא כי הצדדים לא התכוונו להעביר את הזכויות בנכס לידי הנתבעת, הרי שלא מצאתי לקבל את עתירת התובע לביטול חיובו בתשלום המשכנתא כפי שביצע משך השנים, שהרי כבר בהסכם הראשון שבו נכללו הוראות לביצוע פירוק שיתוף בנכס וחלוקת התמורה בין הצדדים, הוא נטל על עצמו את ההתחייבות לשאת בתשלומי המשכנתא ולמען הסדר הטוב יצוין, כי עיון בהסכמים הבאים לא מעלים, כי הצדדים סטו מקביעות אלו; ועל כן יפעלו על פיהן. </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לעניין זה טענה הנתבעת בחקירתה כי חיוב התובע בעלות המשכנתא נבע כתחליף לתשלום מדור בעת גירושי הצדדים וכי עתיד היה לסיים עם התשלומים זמן רב קודם לכן, אך פרש אותם לבחירתו לשנים נוספות (בעמוד 68, שורות 24-27). </w:t>
      </w:r>
    </w:p>
    <w:p w:rsidR="00A032DB" w:rsidRDefault="00A032DB" w:rsidP="00A032DB">
      <w:pPr>
        <w:pStyle w:val="ad"/>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כך אף לא מצאתי כי תוצאת בטלותו של ההסכם השני, מצדיקה הטלת חובת השבה על הנתבעת בגין נשיאתו של התובע בתשלומי המשכנתא משך השנים, שכן אין כל ספק כי עריכת הסכמים אלו וחתימת הצדדים עליהם היו פרי יוזמתו של התובע, אשר ביקש לעשות שימוש לא ראוי בהליכי משפט ומכאן כי אין לפצותו על כך. </w:t>
      </w:r>
    </w:p>
    <w:p w:rsidR="005C6780" w:rsidRDefault="005C6780" w:rsidP="005C6780">
      <w:pPr>
        <w:pStyle w:val="ad"/>
        <w:spacing w:after="0" w:line="360" w:lineRule="auto"/>
        <w:jc w:val="both"/>
        <w:rPr>
          <w:rFonts w:ascii="Times New Roman" w:hAnsi="Times New Roman" w:cs="David"/>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tl/>
        </w:rPr>
      </w:pPr>
      <w:r>
        <w:rPr>
          <w:rFonts w:ascii="Times New Roman" w:hAnsi="Times New Roman" w:cs="David"/>
          <w:sz w:val="24"/>
          <w:szCs w:val="24"/>
          <w:rtl/>
        </w:rPr>
        <w:t xml:space="preserve">תוצאה זו אף עולה בקנה אחד עם אמירתו המפורשת של התובע כי בטלותו של ההסכם השני, מחזירה את המצב לקדמותו לפי ההסכם הראשון (ראה בעמוד 61, שורה 4 לפרוט') וכי אין מקום לחרוג מהוראותיו. </w:t>
      </w:r>
    </w:p>
    <w:p w:rsidR="00A032DB" w:rsidRDefault="00A032DB" w:rsidP="00A032DB">
      <w:pPr>
        <w:pStyle w:val="ad"/>
        <w:spacing w:after="0" w:line="360" w:lineRule="auto"/>
        <w:jc w:val="both"/>
        <w:rPr>
          <w:rFonts w:ascii="Times New Roman" w:hAnsi="Times New Roman" w:cs="David"/>
          <w:b/>
          <w:bCs/>
          <w:sz w:val="24"/>
          <w:szCs w:val="24"/>
        </w:rPr>
      </w:pPr>
    </w:p>
    <w:p w:rsidR="00A032DB" w:rsidRDefault="00A032DB" w:rsidP="00A032DB">
      <w:pPr>
        <w:pStyle w:val="ad"/>
        <w:numPr>
          <w:ilvl w:val="0"/>
          <w:numId w:val="1"/>
        </w:numPr>
        <w:spacing w:after="0" w:line="360" w:lineRule="auto"/>
        <w:jc w:val="both"/>
        <w:rPr>
          <w:rFonts w:ascii="Times New Roman" w:hAnsi="Times New Roman" w:cs="David"/>
          <w:sz w:val="24"/>
          <w:szCs w:val="24"/>
        </w:rPr>
      </w:pPr>
      <w:r>
        <w:rPr>
          <w:rFonts w:ascii="Times New Roman" w:hAnsi="Times New Roman" w:cs="David"/>
          <w:sz w:val="24"/>
          <w:szCs w:val="24"/>
          <w:rtl/>
        </w:rPr>
        <w:t xml:space="preserve">בנסיבות אלה ולאור על האמור לעיל, מצאתי להורות על קבלת התביעה, באופן בו יבוטל ההסכם השני ויעמדו בתוקפן הוראות ההסכם הראשון. </w:t>
      </w:r>
    </w:p>
    <w:p w:rsidR="005C6780" w:rsidRDefault="005C6780" w:rsidP="005C6780">
      <w:pPr>
        <w:pStyle w:val="ad"/>
        <w:spacing w:after="0" w:line="360" w:lineRule="auto"/>
        <w:jc w:val="both"/>
        <w:rPr>
          <w:rFonts w:ascii="Times New Roman" w:hAnsi="Times New Roman" w:cs="David"/>
          <w:b/>
          <w:bCs/>
          <w:sz w:val="24"/>
          <w:szCs w:val="24"/>
          <w:rtl/>
        </w:rPr>
      </w:pPr>
    </w:p>
    <w:p w:rsidR="005C6780" w:rsidRDefault="005C6780" w:rsidP="005C6780">
      <w:pPr>
        <w:pStyle w:val="ad"/>
        <w:spacing w:after="0" w:line="360" w:lineRule="auto"/>
        <w:jc w:val="both"/>
        <w:rPr>
          <w:rFonts w:ascii="Times New Roman" w:hAnsi="Times New Roman" w:cs="David"/>
          <w:b/>
          <w:bCs/>
          <w:sz w:val="24"/>
          <w:szCs w:val="24"/>
          <w:rtl/>
        </w:rPr>
      </w:pPr>
    </w:p>
    <w:p w:rsidR="005C6780" w:rsidRPr="005C6780" w:rsidRDefault="005C6780" w:rsidP="005C6780">
      <w:pPr>
        <w:pStyle w:val="ad"/>
        <w:spacing w:after="0" w:line="360" w:lineRule="auto"/>
        <w:jc w:val="both"/>
        <w:rPr>
          <w:rFonts w:ascii="Times New Roman" w:hAnsi="Times New Roman" w:cs="David"/>
          <w:b/>
          <w:bCs/>
          <w:sz w:val="24"/>
          <w:szCs w:val="24"/>
        </w:rPr>
      </w:pPr>
    </w:p>
    <w:p w:rsidR="00A032DB" w:rsidRDefault="00A032DB" w:rsidP="00AE7831">
      <w:pPr>
        <w:pStyle w:val="ad"/>
        <w:numPr>
          <w:ilvl w:val="0"/>
          <w:numId w:val="1"/>
        </w:numPr>
        <w:spacing w:after="0" w:line="360" w:lineRule="auto"/>
        <w:jc w:val="both"/>
        <w:rPr>
          <w:rFonts w:ascii="Times New Roman" w:hAnsi="Times New Roman" w:cs="David"/>
          <w:b/>
          <w:bCs/>
          <w:sz w:val="24"/>
          <w:szCs w:val="24"/>
          <w:rtl/>
        </w:rPr>
      </w:pPr>
      <w:r>
        <w:rPr>
          <w:rFonts w:ascii="Times New Roman" w:hAnsi="Times New Roman" w:cs="David"/>
          <w:sz w:val="24"/>
          <w:szCs w:val="24"/>
          <w:rtl/>
        </w:rPr>
        <w:lastRenderedPageBreak/>
        <w:t xml:space="preserve">לנוכח תוצאה זו, ובהינתן הקביעות האמורות לעיל בדבר פועלם הנפסד של הצדדים או מי מהם, המדברות בעד עצמן, ועל מנת להביע את מורת רוחו של בית המשפט מנוהגם הפסול, העדר תום לבם ושימוש לרעה בהליכי משפט, מצאתי לחייב </w:t>
      </w:r>
      <w:r>
        <w:rPr>
          <w:rFonts w:ascii="Times New Roman" w:hAnsi="Times New Roman" w:cs="David"/>
          <w:b/>
          <w:bCs/>
          <w:sz w:val="24"/>
          <w:szCs w:val="24"/>
          <w:rtl/>
        </w:rPr>
        <w:t>כל אחד</w:t>
      </w:r>
      <w:r>
        <w:rPr>
          <w:rFonts w:ascii="Times New Roman" w:hAnsi="Times New Roman" w:cs="David"/>
          <w:sz w:val="24"/>
          <w:szCs w:val="24"/>
          <w:rtl/>
        </w:rPr>
        <w:t xml:space="preserve"> מהצדדים לשאת בנפרד בתשלום הוצאות לאוצר המדינה בסך של 27,000 ₪; אשר ישולמו ע"י כל אחד מהם בתוך 30 יום, שאם לא כן יישא הסכום הפרשי הצמדה וריבית כחוק עד למועד התשלום בפועל; בהינתן האמור, וחרף תוצאת ההליך במישור היחסים שבין הצדדים, לא מצאתי לפסוק הוצאות לטובת התובע.</w:t>
      </w:r>
    </w:p>
    <w:p w:rsidR="00B64170" w:rsidRDefault="00B64170" w:rsidP="00B64170">
      <w:pPr>
        <w:spacing w:line="360" w:lineRule="auto"/>
        <w:jc w:val="both"/>
        <w:rPr>
          <w:rFonts w:ascii="Arial" w:hAnsi="Arial"/>
          <w:noProof w:val="0"/>
          <w:u w:val="single"/>
          <w:rtl/>
        </w:rPr>
      </w:pPr>
    </w:p>
    <w:p w:rsidR="00B64170" w:rsidRPr="00B64170" w:rsidRDefault="00B64170" w:rsidP="00B64170">
      <w:pPr>
        <w:spacing w:line="360" w:lineRule="auto"/>
        <w:ind w:firstLine="360"/>
        <w:jc w:val="both"/>
        <w:rPr>
          <w:rFonts w:ascii="Arial" w:hAnsi="Arial"/>
          <w:noProof w:val="0"/>
          <w:u w:val="single"/>
        </w:rPr>
      </w:pPr>
      <w:r w:rsidRPr="00B64170">
        <w:rPr>
          <w:rFonts w:ascii="Arial" w:hAnsi="Arial" w:hint="cs"/>
          <w:noProof w:val="0"/>
          <w:u w:val="single"/>
          <w:rtl/>
        </w:rPr>
        <w:t xml:space="preserve">פסק הדין יהא </w:t>
      </w:r>
      <w:r w:rsidRPr="00B64170">
        <w:rPr>
          <w:rFonts w:ascii="Arial" w:hAnsi="Arial"/>
          <w:noProof w:val="0"/>
          <w:u w:val="single"/>
          <w:rtl/>
        </w:rPr>
        <w:t xml:space="preserve">מותר בפרסום בלא פרטים מזהים </w:t>
      </w:r>
      <w:r w:rsidRPr="00B64170">
        <w:rPr>
          <w:rFonts w:ascii="Arial" w:hAnsi="Arial" w:hint="cs"/>
          <w:noProof w:val="0"/>
          <w:u w:val="single"/>
          <w:rtl/>
        </w:rPr>
        <w:t>לאחר השלמת</w:t>
      </w:r>
      <w:r w:rsidRPr="00B64170">
        <w:rPr>
          <w:rFonts w:ascii="Arial" w:hAnsi="Arial"/>
          <w:noProof w:val="0"/>
          <w:u w:val="single"/>
          <w:rtl/>
        </w:rPr>
        <w:t xml:space="preserve"> תהליך התממה</w:t>
      </w:r>
      <w:r w:rsidRPr="00B64170">
        <w:rPr>
          <w:rFonts w:ascii="Arial" w:hAnsi="Arial"/>
          <w:noProof w:val="0"/>
          <w:rtl/>
        </w:rPr>
        <w:t>.</w:t>
      </w:r>
    </w:p>
    <w:p w:rsidR="00B64170" w:rsidRPr="00B64170" w:rsidRDefault="00B64170" w:rsidP="00B64170">
      <w:pPr>
        <w:spacing w:line="360" w:lineRule="auto"/>
        <w:ind w:firstLine="360"/>
        <w:jc w:val="both"/>
        <w:rPr>
          <w:b/>
          <w:bCs/>
          <w:rtl/>
        </w:rPr>
      </w:pPr>
      <w:r w:rsidRPr="00B64170">
        <w:rPr>
          <w:b/>
          <w:bCs/>
          <w:rtl/>
        </w:rPr>
        <w:t>המזכירות תמציא לצדדים</w:t>
      </w:r>
      <w:r w:rsidR="00310FD7">
        <w:rPr>
          <w:rFonts w:hint="cs"/>
          <w:b/>
          <w:bCs/>
          <w:rtl/>
        </w:rPr>
        <w:t xml:space="preserve"> ותסגור את התיק</w:t>
      </w:r>
      <w:r w:rsidRPr="00B64170">
        <w:rPr>
          <w:b/>
          <w:bCs/>
          <w:rtl/>
        </w:rPr>
        <w:t xml:space="preserve">. </w:t>
      </w:r>
    </w:p>
    <w:p w:rsidR="00A032DB" w:rsidRPr="00B64170" w:rsidRDefault="00A032DB" w:rsidP="00A032DB">
      <w:pPr>
        <w:pStyle w:val="ad"/>
        <w:rPr>
          <w:rFonts w:ascii="Times New Roman" w:hAnsi="Times New Roman" w:cs="David"/>
          <w:b/>
          <w:bCs/>
          <w:sz w:val="24"/>
          <w:szCs w:val="24"/>
          <w:highlight w:val="cyan"/>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ו' כסלו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נובמבר 2022</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D5045" w:rsidP="00633C4F">
      <w:pPr>
        <w:spacing w:line="360" w:lineRule="auto"/>
        <w:ind w:left="3600" w:firstLine="720"/>
      </w:pPr>
      <w:sdt>
        <w:sdtPr>
          <w:rPr>
            <w:rtl/>
          </w:rPr>
          <w:alias w:val="MergeField"/>
          <w:tag w:val="1237"/>
          <w:id w:val="547043987"/>
        </w:sdtPr>
        <w:sdtEndPr/>
        <w:sdtContent>
          <w:r w:rsidR="00004237">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B9736D" w:rsidRDefault="00B9736D">
      <w:pPr>
        <w:spacing w:line="360" w:lineRule="auto"/>
        <w:jc w:val="both"/>
        <w:rPr>
          <w:rFonts w:ascii="Arial" w:hAnsi="Arial"/>
          <w:noProof w:val="0"/>
          <w:rtl/>
        </w:rPr>
      </w:pPr>
    </w:p>
    <w:p w:rsidR="00112901" w:rsidRDefault="00112901">
      <w:pPr>
        <w:spacing w:line="360" w:lineRule="auto"/>
        <w:jc w:val="both"/>
        <w:rPr>
          <w:rFonts w:ascii="Arial" w:hAnsi="Arial"/>
          <w:noProof w:val="0"/>
          <w:rtl/>
        </w:rPr>
      </w:pPr>
    </w:p>
    <w:sectPr w:rsidR="00112901"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045" w:rsidRDefault="008D5045">
      <w:r>
        <w:separator/>
      </w:r>
    </w:p>
  </w:endnote>
  <w:endnote w:type="continuationSeparator" w:id="0">
    <w:p w:rsidR="008D5045" w:rsidRDefault="008D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Guttman Yad-Brush">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F3FCA">
      <w:rPr>
        <w:rStyle w:val="ab"/>
        <w:rFonts w:cs="Times New Roman"/>
        <w:rtl/>
      </w:rPr>
      <w:t>23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F3FCA">
      <w:rPr>
        <w:rStyle w:val="ab"/>
        <w:rtl/>
      </w:rPr>
      <w:t>23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045" w:rsidRDefault="008D5045">
      <w:r>
        <w:separator/>
      </w:r>
    </w:p>
  </w:footnote>
  <w:footnote w:type="continuationSeparator" w:id="0">
    <w:p w:rsidR="008D5045" w:rsidRDefault="008D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D5045" w:rsidP="00ED7C20">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תה"ס</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10620-12-14</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ED7C20">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showingPlcHdr/>
                  <w:text w:multiLine="1"/>
                </w:sdtPr>
                <w:sdtEndPr/>
                <w:sdtContent>
                  <w:r w:rsidR="00ED7C20">
                    <w:rPr>
                      <w:sz w:val="20"/>
                      <w:szCs w:val="20"/>
                      <w:rtl/>
                    </w:rPr>
                    <w:t xml:space="preserve">     </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716BB"/>
    <w:multiLevelType w:val="hybridMultilevel"/>
    <w:tmpl w:val="2042FC0C"/>
    <w:lvl w:ilvl="0" w:tplc="0918610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3947324"/>
    <w:multiLevelType w:val="hybridMultilevel"/>
    <w:tmpl w:val="E652573E"/>
    <w:lvl w:ilvl="0" w:tplc="04090013">
      <w:start w:val="1"/>
      <w:numFmt w:val="hebrew1"/>
      <w:lvlText w:val="%1."/>
      <w:lvlJc w:val="center"/>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CFF25B4"/>
    <w:multiLevelType w:val="hybridMultilevel"/>
    <w:tmpl w:val="68BE9BD6"/>
    <w:lvl w:ilvl="0" w:tplc="04090013">
      <w:start w:val="1"/>
      <w:numFmt w:val="hebrew1"/>
      <w:lvlText w:val="%1."/>
      <w:lvlJc w:val="center"/>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9515DE6"/>
    <w:multiLevelType w:val="hybridMultilevel"/>
    <w:tmpl w:val="36B66B9E"/>
    <w:lvl w:ilvl="0" w:tplc="04090013">
      <w:start w:val="1"/>
      <w:numFmt w:val="hebrew1"/>
      <w:lvlText w:val="%1."/>
      <w:lvlJc w:val="center"/>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237"/>
    <w:rsid w:val="00005C8B"/>
    <w:rsid w:val="000146C2"/>
    <w:rsid w:val="000148C6"/>
    <w:rsid w:val="00016C35"/>
    <w:rsid w:val="00024414"/>
    <w:rsid w:val="000258FD"/>
    <w:rsid w:val="000415C6"/>
    <w:rsid w:val="000564AB"/>
    <w:rsid w:val="000653E5"/>
    <w:rsid w:val="000D4A02"/>
    <w:rsid w:val="000F7421"/>
    <w:rsid w:val="001072A9"/>
    <w:rsid w:val="00112901"/>
    <w:rsid w:val="00121F97"/>
    <w:rsid w:val="00124326"/>
    <w:rsid w:val="0012681D"/>
    <w:rsid w:val="001277D7"/>
    <w:rsid w:val="00132017"/>
    <w:rsid w:val="0014234E"/>
    <w:rsid w:val="00145A87"/>
    <w:rsid w:val="00181E45"/>
    <w:rsid w:val="001C4003"/>
    <w:rsid w:val="001E3B14"/>
    <w:rsid w:val="001E78FD"/>
    <w:rsid w:val="001F5474"/>
    <w:rsid w:val="00220B79"/>
    <w:rsid w:val="00220F9A"/>
    <w:rsid w:val="002352F7"/>
    <w:rsid w:val="0027277D"/>
    <w:rsid w:val="002769AC"/>
    <w:rsid w:val="00284B8F"/>
    <w:rsid w:val="002F2EDD"/>
    <w:rsid w:val="00300FB9"/>
    <w:rsid w:val="00310FD7"/>
    <w:rsid w:val="00366253"/>
    <w:rsid w:val="00374023"/>
    <w:rsid w:val="00381D3A"/>
    <w:rsid w:val="003823DA"/>
    <w:rsid w:val="003841C1"/>
    <w:rsid w:val="003E59E0"/>
    <w:rsid w:val="0041670C"/>
    <w:rsid w:val="0043595F"/>
    <w:rsid w:val="0047645A"/>
    <w:rsid w:val="004D49A3"/>
    <w:rsid w:val="004D50AC"/>
    <w:rsid w:val="004E6E3C"/>
    <w:rsid w:val="005124F1"/>
    <w:rsid w:val="00530BAD"/>
    <w:rsid w:val="00541598"/>
    <w:rsid w:val="00547DB7"/>
    <w:rsid w:val="00567324"/>
    <w:rsid w:val="0058541E"/>
    <w:rsid w:val="00594A5A"/>
    <w:rsid w:val="0059781E"/>
    <w:rsid w:val="005B0F49"/>
    <w:rsid w:val="005B7FD8"/>
    <w:rsid w:val="005C6780"/>
    <w:rsid w:val="005C7EC6"/>
    <w:rsid w:val="005D4BDB"/>
    <w:rsid w:val="0060528A"/>
    <w:rsid w:val="00622BAA"/>
    <w:rsid w:val="00625C89"/>
    <w:rsid w:val="00633C4F"/>
    <w:rsid w:val="00646066"/>
    <w:rsid w:val="00671BD5"/>
    <w:rsid w:val="006805C1"/>
    <w:rsid w:val="006816EC"/>
    <w:rsid w:val="00694556"/>
    <w:rsid w:val="006B3B3F"/>
    <w:rsid w:val="006E1A53"/>
    <w:rsid w:val="007056AA"/>
    <w:rsid w:val="00711AE7"/>
    <w:rsid w:val="00744F41"/>
    <w:rsid w:val="007A24FE"/>
    <w:rsid w:val="007A35AA"/>
    <w:rsid w:val="007F1048"/>
    <w:rsid w:val="00807BB6"/>
    <w:rsid w:val="00820005"/>
    <w:rsid w:val="00846D27"/>
    <w:rsid w:val="008568DF"/>
    <w:rsid w:val="008610A7"/>
    <w:rsid w:val="008B578A"/>
    <w:rsid w:val="008D5045"/>
    <w:rsid w:val="008E1332"/>
    <w:rsid w:val="008F0D18"/>
    <w:rsid w:val="00903896"/>
    <w:rsid w:val="00916C54"/>
    <w:rsid w:val="00922C06"/>
    <w:rsid w:val="00927813"/>
    <w:rsid w:val="00944D13"/>
    <w:rsid w:val="00957B0D"/>
    <w:rsid w:val="00957C90"/>
    <w:rsid w:val="009942D8"/>
    <w:rsid w:val="009A388A"/>
    <w:rsid w:val="009B1C8C"/>
    <w:rsid w:val="009B70F6"/>
    <w:rsid w:val="009C358E"/>
    <w:rsid w:val="009E0263"/>
    <w:rsid w:val="009E3E56"/>
    <w:rsid w:val="00A032DB"/>
    <w:rsid w:val="00A267CF"/>
    <w:rsid w:val="00A43458"/>
    <w:rsid w:val="00A93742"/>
    <w:rsid w:val="00AC20C4"/>
    <w:rsid w:val="00AC4E19"/>
    <w:rsid w:val="00AE7831"/>
    <w:rsid w:val="00AF1ED6"/>
    <w:rsid w:val="00B32C61"/>
    <w:rsid w:val="00B368FE"/>
    <w:rsid w:val="00B52243"/>
    <w:rsid w:val="00B64170"/>
    <w:rsid w:val="00B80CBD"/>
    <w:rsid w:val="00B9736D"/>
    <w:rsid w:val="00BC3369"/>
    <w:rsid w:val="00BF77EE"/>
    <w:rsid w:val="00C32E0F"/>
    <w:rsid w:val="00C3786F"/>
    <w:rsid w:val="00C42BF9"/>
    <w:rsid w:val="00C7602E"/>
    <w:rsid w:val="00C83E56"/>
    <w:rsid w:val="00CA1828"/>
    <w:rsid w:val="00CC0ABF"/>
    <w:rsid w:val="00CC63CE"/>
    <w:rsid w:val="00CC6E77"/>
    <w:rsid w:val="00CF3FCA"/>
    <w:rsid w:val="00CF6F1B"/>
    <w:rsid w:val="00D31713"/>
    <w:rsid w:val="00D319B3"/>
    <w:rsid w:val="00D36A71"/>
    <w:rsid w:val="00D42BAD"/>
    <w:rsid w:val="00D53924"/>
    <w:rsid w:val="00D60849"/>
    <w:rsid w:val="00D70978"/>
    <w:rsid w:val="00D96D8C"/>
    <w:rsid w:val="00DA755B"/>
    <w:rsid w:val="00DB5447"/>
    <w:rsid w:val="00DD337E"/>
    <w:rsid w:val="00E00B6F"/>
    <w:rsid w:val="00E44DDF"/>
    <w:rsid w:val="00E54642"/>
    <w:rsid w:val="00E87E46"/>
    <w:rsid w:val="00E97908"/>
    <w:rsid w:val="00EC5DF9"/>
    <w:rsid w:val="00EC75BE"/>
    <w:rsid w:val="00ED7C20"/>
    <w:rsid w:val="00EF3ED0"/>
    <w:rsid w:val="00F17E56"/>
    <w:rsid w:val="00F31887"/>
    <w:rsid w:val="00F36505"/>
    <w:rsid w:val="00F40670"/>
    <w:rsid w:val="00F47CAA"/>
    <w:rsid w:val="00F52C17"/>
    <w:rsid w:val="00F7030D"/>
    <w:rsid w:val="00FA6CE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A032DB"/>
    <w:rPr>
      <w:color w:val="0000FF"/>
      <w:u w:val="single"/>
    </w:rPr>
  </w:style>
  <w:style w:type="paragraph" w:styleId="ad">
    <w:name w:val="List Paragraph"/>
    <w:basedOn w:val="a"/>
    <w:uiPriority w:val="34"/>
    <w:qFormat/>
    <w:rsid w:val="00A032DB"/>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default">
    <w:name w:val="default"/>
    <w:basedOn w:val="a0"/>
    <w:rsid w:val="00A032D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3269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18467174">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Guttman Yad-Brush">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C52C3"/>
    <w:rsid w:val="00B40AEB"/>
    <w:rsid w:val="00B65812"/>
    <w:rsid w:val="00B84686"/>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6731</Words>
  <Characters>35747</Characters>
  <Application>Microsoft Office Word</Application>
  <DocSecurity>0</DocSecurity>
  <Lines>700</Lines>
  <Paragraphs>129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2022-11-30T19:19:00Z</cp:lastPrinted>
  <dcterms:created xsi:type="dcterms:W3CDTF">2024-05-20T07:31:00Z</dcterms:created>
  <dcterms:modified xsi:type="dcterms:W3CDTF">2024-05-20T07:31:00Z</dcterms:modified>
</cp:coreProperties>
</file>